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B49C1A" w14:textId="77777777" w:rsidR="00E5479B" w:rsidRPr="00E5479B" w:rsidRDefault="00E5479B" w:rsidP="00E5479B">
      <w:pPr>
        <w:spacing w:before="450" w:after="375"/>
        <w:outlineLvl w:val="1"/>
        <w:rPr>
          <w:rFonts w:ascii="Helvetica" w:eastAsia="Times New Roman" w:hAnsi="Helvetica" w:cs="Times New Roman"/>
          <w:color w:val="133850"/>
          <w:sz w:val="30"/>
          <w:szCs w:val="30"/>
        </w:rPr>
      </w:pPr>
      <w:r w:rsidRPr="005B2924">
        <w:rPr>
          <w:rFonts w:ascii="Helvetica" w:eastAsia="Times New Roman" w:hAnsi="Helvetica" w:cs="Times New Roman"/>
          <w:color w:val="133850"/>
          <w:sz w:val="30"/>
          <w:szCs w:val="30"/>
          <w:highlight w:val="lightGray"/>
        </w:rPr>
        <w:t xml:space="preserve">The EBA calls on the European Commission to </w:t>
      </w:r>
      <w:proofErr w:type="gramStart"/>
      <w:r w:rsidRPr="005B2924">
        <w:rPr>
          <w:rFonts w:ascii="Helvetica" w:eastAsia="Times New Roman" w:hAnsi="Helvetica" w:cs="Times New Roman"/>
          <w:color w:val="133850"/>
          <w:sz w:val="30"/>
          <w:szCs w:val="30"/>
          <w:highlight w:val="lightGray"/>
        </w:rPr>
        <w:t>take action</w:t>
      </w:r>
      <w:proofErr w:type="gramEnd"/>
      <w:r w:rsidRPr="005B2924">
        <w:rPr>
          <w:rFonts w:ascii="Helvetica" w:eastAsia="Times New Roman" w:hAnsi="Helvetica" w:cs="Times New Roman"/>
          <w:color w:val="133850"/>
          <w:sz w:val="30"/>
          <w:szCs w:val="30"/>
          <w:highlight w:val="lightGray"/>
        </w:rPr>
        <w:t xml:space="preserve"> to facilitate the scaling up of cross-border activity</w:t>
      </w:r>
      <w:r w:rsidRPr="00E5479B">
        <w:rPr>
          <w:rFonts w:ascii="Helvetica" w:eastAsia="Times New Roman" w:hAnsi="Helvetica" w:cs="Times New Roman"/>
          <w:color w:val="133850"/>
          <w:sz w:val="30"/>
          <w:szCs w:val="30"/>
        </w:rPr>
        <w:t> </w:t>
      </w:r>
    </w:p>
    <w:p w14:paraId="71D599F6" w14:textId="77777777" w:rsidR="00E5479B" w:rsidRPr="00E5479B" w:rsidRDefault="00E5479B" w:rsidP="00E5479B">
      <w:pPr>
        <w:spacing w:after="150"/>
        <w:rPr>
          <w:rFonts w:ascii="Helvetica" w:eastAsia="Times New Roman" w:hAnsi="Helvetica" w:cs="Times New Roman"/>
          <w:color w:val="8199A8"/>
          <w:sz w:val="20"/>
          <w:szCs w:val="20"/>
        </w:rPr>
      </w:pPr>
      <w:r w:rsidRPr="00E5479B">
        <w:rPr>
          <w:rFonts w:ascii="Helvetica" w:eastAsia="Times New Roman" w:hAnsi="Helvetica" w:cs="Times New Roman"/>
          <w:color w:val="8199A8"/>
          <w:sz w:val="20"/>
          <w:szCs w:val="20"/>
        </w:rPr>
        <w:t>29 October 2019</w:t>
      </w:r>
    </w:p>
    <w:p w14:paraId="2A8070C6" w14:textId="77777777" w:rsidR="00E5479B" w:rsidRPr="00E5479B" w:rsidRDefault="00E5479B" w:rsidP="00E5479B">
      <w:pPr>
        <w:spacing w:before="240" w:after="120"/>
        <w:jc w:val="both"/>
        <w:rPr>
          <w:rFonts w:ascii="Helvetica" w:eastAsia="Times New Roman" w:hAnsi="Helvetica" w:cs="Times New Roman"/>
          <w:color w:val="133850"/>
          <w:sz w:val="20"/>
          <w:szCs w:val="20"/>
        </w:rPr>
      </w:pPr>
      <w:r w:rsidRPr="00E5479B">
        <w:rPr>
          <w:rFonts w:ascii="Calibri" w:eastAsia="Times New Roman" w:hAnsi="Calibri" w:cs="Calibri"/>
          <w:b/>
          <w:bCs/>
          <w:color w:val="133850"/>
          <w:sz w:val="22"/>
          <w:szCs w:val="22"/>
        </w:rPr>
        <w:t xml:space="preserve">The European Banking Authority (EBA) published today a report identifying potential impediments to the cross-border provision of banking and payment services in the EU. Developed under the EBA’s FinTech Roadmap, </w:t>
      </w:r>
      <w:r w:rsidRPr="005B2924">
        <w:rPr>
          <w:rFonts w:ascii="Calibri" w:eastAsia="Times New Roman" w:hAnsi="Calibri" w:cs="Calibri"/>
          <w:b/>
          <w:bCs/>
          <w:color w:val="133850"/>
          <w:sz w:val="22"/>
          <w:szCs w:val="22"/>
          <w:highlight w:val="lightGray"/>
        </w:rPr>
        <w:t xml:space="preserve">this Report calls on the European Commission to facilitate cross-border access, including the update of interpretative communications on the cross-border provision of services and further </w:t>
      </w:r>
      <w:proofErr w:type="spellStart"/>
      <w:r w:rsidRPr="005B2924">
        <w:rPr>
          <w:rFonts w:ascii="Calibri" w:eastAsia="Times New Roman" w:hAnsi="Calibri" w:cs="Calibri"/>
          <w:b/>
          <w:bCs/>
          <w:color w:val="133850"/>
          <w:sz w:val="22"/>
          <w:szCs w:val="22"/>
          <w:highlight w:val="lightGray"/>
        </w:rPr>
        <w:t>harmonisation</w:t>
      </w:r>
      <w:proofErr w:type="spellEnd"/>
      <w:r w:rsidRPr="005B2924">
        <w:rPr>
          <w:rFonts w:ascii="Calibri" w:eastAsia="Times New Roman" w:hAnsi="Calibri" w:cs="Calibri"/>
          <w:b/>
          <w:bCs/>
          <w:color w:val="133850"/>
          <w:sz w:val="22"/>
          <w:szCs w:val="22"/>
          <w:highlight w:val="lightGray"/>
        </w:rPr>
        <w:t xml:space="preserve"> of consumer protection, conduct of business and AML/CFT requirements, in order to facilitate the scaling up of activity cross-border.</w:t>
      </w:r>
      <w:r w:rsidRPr="00E5479B">
        <w:rPr>
          <w:rFonts w:ascii="Calibri" w:eastAsia="Times New Roman" w:hAnsi="Calibri" w:cs="Calibri"/>
          <w:b/>
          <w:bCs/>
          <w:color w:val="133850"/>
          <w:sz w:val="22"/>
          <w:szCs w:val="22"/>
        </w:rPr>
        <w:t> </w:t>
      </w:r>
    </w:p>
    <w:p w14:paraId="1C731FE4" w14:textId="77777777" w:rsidR="00E5479B" w:rsidRPr="00E5479B" w:rsidRDefault="00E5479B" w:rsidP="00E5479B">
      <w:pPr>
        <w:spacing w:before="240" w:after="120"/>
        <w:jc w:val="both"/>
        <w:rPr>
          <w:rFonts w:ascii="Helvetica" w:eastAsia="Times New Roman" w:hAnsi="Helvetica" w:cs="Times New Roman"/>
          <w:color w:val="133850"/>
          <w:sz w:val="20"/>
          <w:szCs w:val="20"/>
        </w:rPr>
      </w:pPr>
      <w:r w:rsidRPr="005B2924">
        <w:rPr>
          <w:rFonts w:ascii="Calibri" w:eastAsia="Times New Roman" w:hAnsi="Calibri" w:cs="Calibri"/>
          <w:color w:val="133850"/>
          <w:sz w:val="22"/>
          <w:szCs w:val="22"/>
          <w:highlight w:val="lightGray"/>
        </w:rPr>
        <w:t xml:space="preserve">Digital solutions can increase choice by enabling consumers access to a wider population of providers of financial services. However, the full potential of these solutions has not yet been achieved in the EU, in part due to divergences in regulatory requirements and supervisory practices across the Member States. </w:t>
      </w:r>
      <w:r w:rsidRPr="005B2924">
        <w:rPr>
          <w:rFonts w:ascii="Calibri" w:eastAsia="Times New Roman" w:hAnsi="Calibri" w:cs="Calibri"/>
          <w:color w:val="FF0000"/>
          <w:sz w:val="22"/>
          <w:szCs w:val="22"/>
          <w:highlight w:val="lightGray"/>
        </w:rPr>
        <w:t>Identifying and resolving these issues is a necessary step to addressing barriers to market entry, supporting the scaling up of financial services across the EU, and improving the competitiveness of the EU Single Market.</w:t>
      </w:r>
    </w:p>
    <w:p w14:paraId="079B3E01" w14:textId="77777777" w:rsidR="00E5479B" w:rsidRPr="005B2924" w:rsidRDefault="00E5479B" w:rsidP="00E5479B">
      <w:pPr>
        <w:spacing w:before="240" w:after="120"/>
        <w:jc w:val="both"/>
        <w:rPr>
          <w:rFonts w:ascii="Helvetica" w:eastAsia="Times New Roman" w:hAnsi="Helvetica" w:cs="Times New Roman"/>
          <w:color w:val="133850"/>
          <w:sz w:val="20"/>
          <w:szCs w:val="20"/>
          <w:highlight w:val="lightGray"/>
        </w:rPr>
      </w:pPr>
      <w:r w:rsidRPr="00E5479B">
        <w:rPr>
          <w:rFonts w:ascii="Calibri" w:eastAsia="Times New Roman" w:hAnsi="Calibri" w:cs="Calibri"/>
          <w:color w:val="133850"/>
          <w:sz w:val="22"/>
          <w:szCs w:val="22"/>
        </w:rPr>
        <w:t>The first important challenge is the identification of when a digital activity is to be regarded as a cross-</w:t>
      </w:r>
      <w:bookmarkStart w:id="0" w:name="_GoBack"/>
      <w:bookmarkEnd w:id="0"/>
      <w:r w:rsidRPr="005B2924">
        <w:rPr>
          <w:rFonts w:ascii="Calibri" w:eastAsia="Times New Roman" w:hAnsi="Calibri" w:cs="Calibri"/>
          <w:color w:val="133850"/>
          <w:sz w:val="22"/>
          <w:szCs w:val="22"/>
          <w:highlight w:val="lightGray"/>
        </w:rPr>
        <w:t>border provision of services. Although this is a crucial element in determining which regulatory and supervisory frameworks apply, currently, competent authorities and firms lack clear guidance on how to classify cross-border activity under the freedom to provide services or right of establishment. </w:t>
      </w:r>
    </w:p>
    <w:p w14:paraId="69A66D79" w14:textId="77777777" w:rsidR="00E5479B" w:rsidRPr="005B2924" w:rsidRDefault="00E5479B" w:rsidP="00E5479B">
      <w:pPr>
        <w:spacing w:before="240" w:after="120"/>
        <w:jc w:val="both"/>
        <w:rPr>
          <w:rFonts w:ascii="Helvetica" w:eastAsia="Times New Roman" w:hAnsi="Helvetica" w:cs="Times New Roman"/>
          <w:color w:val="133850"/>
          <w:sz w:val="20"/>
          <w:szCs w:val="20"/>
          <w:highlight w:val="lightGray"/>
        </w:rPr>
      </w:pPr>
      <w:r w:rsidRPr="005B2924">
        <w:rPr>
          <w:rFonts w:ascii="Calibri" w:eastAsia="Times New Roman" w:hAnsi="Calibri" w:cs="Calibri"/>
          <w:color w:val="133850"/>
          <w:sz w:val="22"/>
          <w:szCs w:val="22"/>
          <w:highlight w:val="lightGray"/>
        </w:rPr>
        <w:t xml:space="preserve">The second challenge stems from areas of EU law that are not fully </w:t>
      </w:r>
      <w:proofErr w:type="spellStart"/>
      <w:r w:rsidRPr="005B2924">
        <w:rPr>
          <w:rFonts w:ascii="Calibri" w:eastAsia="Times New Roman" w:hAnsi="Calibri" w:cs="Calibri"/>
          <w:color w:val="133850"/>
          <w:sz w:val="22"/>
          <w:szCs w:val="22"/>
          <w:highlight w:val="lightGray"/>
        </w:rPr>
        <w:t>harmonised</w:t>
      </w:r>
      <w:proofErr w:type="spellEnd"/>
      <w:r w:rsidRPr="005B2924">
        <w:rPr>
          <w:rFonts w:ascii="Calibri" w:eastAsia="Times New Roman" w:hAnsi="Calibri" w:cs="Calibri"/>
          <w:color w:val="133850"/>
          <w:sz w:val="22"/>
          <w:szCs w:val="22"/>
          <w:highlight w:val="lightGray"/>
        </w:rPr>
        <w:t xml:space="preserve"> or are not yet covered by EU law. In particular, the EBA identifies issues related to </w:t>
      </w:r>
      <w:proofErr w:type="spellStart"/>
      <w:r w:rsidRPr="005B2924">
        <w:rPr>
          <w:rFonts w:ascii="Calibri" w:eastAsia="Times New Roman" w:hAnsi="Calibri" w:cs="Calibri"/>
          <w:color w:val="133850"/>
          <w:sz w:val="22"/>
          <w:szCs w:val="22"/>
          <w:highlight w:val="lightGray"/>
        </w:rPr>
        <w:t>authorisations</w:t>
      </w:r>
      <w:proofErr w:type="spellEnd"/>
      <w:r w:rsidRPr="005B2924">
        <w:rPr>
          <w:rFonts w:ascii="Calibri" w:eastAsia="Times New Roman" w:hAnsi="Calibri" w:cs="Calibri"/>
          <w:color w:val="133850"/>
          <w:sz w:val="22"/>
          <w:szCs w:val="22"/>
          <w:highlight w:val="lightGray"/>
        </w:rPr>
        <w:t xml:space="preserve"> and </w:t>
      </w:r>
      <w:proofErr w:type="spellStart"/>
      <w:r w:rsidRPr="005B2924">
        <w:rPr>
          <w:rFonts w:ascii="Calibri" w:eastAsia="Times New Roman" w:hAnsi="Calibri" w:cs="Calibri"/>
          <w:color w:val="133850"/>
          <w:sz w:val="22"/>
          <w:szCs w:val="22"/>
          <w:highlight w:val="lightGray"/>
        </w:rPr>
        <w:t>licencing</w:t>
      </w:r>
      <w:proofErr w:type="spellEnd"/>
      <w:r w:rsidRPr="005B2924">
        <w:rPr>
          <w:rFonts w:ascii="Calibri" w:eastAsia="Times New Roman" w:hAnsi="Calibri" w:cs="Calibri"/>
          <w:color w:val="133850"/>
          <w:sz w:val="22"/>
          <w:szCs w:val="22"/>
          <w:highlight w:val="lightGray"/>
        </w:rPr>
        <w:t>, consumer protection, conduct of business requirements and anti-money laundering (AML) and countering the financing of terrorism (CFT). </w:t>
      </w:r>
    </w:p>
    <w:p w14:paraId="30C2B53E" w14:textId="77777777" w:rsidR="00E5479B" w:rsidRPr="00E5479B" w:rsidRDefault="00E5479B" w:rsidP="00E5479B">
      <w:pPr>
        <w:spacing w:before="240" w:after="120"/>
        <w:jc w:val="both"/>
        <w:rPr>
          <w:rFonts w:ascii="Helvetica" w:eastAsia="Times New Roman" w:hAnsi="Helvetica" w:cs="Times New Roman"/>
          <w:color w:val="133850"/>
          <w:sz w:val="20"/>
          <w:szCs w:val="20"/>
        </w:rPr>
      </w:pPr>
      <w:r w:rsidRPr="005B2924">
        <w:rPr>
          <w:rFonts w:ascii="Calibri" w:eastAsia="Times New Roman" w:hAnsi="Calibri" w:cs="Calibri"/>
          <w:color w:val="133850"/>
          <w:sz w:val="22"/>
          <w:szCs w:val="22"/>
          <w:highlight w:val="lightGray"/>
        </w:rPr>
        <w:t xml:space="preserve">Left unaddressed these issues may impede institutions and other FinTech firms from providing banking and payments services cross-border within the EU. Therefore, the EBA recommends the European Commission </w:t>
      </w:r>
      <w:proofErr w:type="gramStart"/>
      <w:r w:rsidRPr="005B2924">
        <w:rPr>
          <w:rFonts w:ascii="Calibri" w:eastAsia="Times New Roman" w:hAnsi="Calibri" w:cs="Calibri"/>
          <w:color w:val="133850"/>
          <w:sz w:val="22"/>
          <w:szCs w:val="22"/>
          <w:highlight w:val="lightGray"/>
        </w:rPr>
        <w:t>take action</w:t>
      </w:r>
      <w:proofErr w:type="gramEnd"/>
      <w:r w:rsidRPr="005B2924">
        <w:rPr>
          <w:rFonts w:ascii="Calibri" w:eastAsia="Times New Roman" w:hAnsi="Calibri" w:cs="Calibri"/>
          <w:color w:val="133850"/>
          <w:sz w:val="22"/>
          <w:szCs w:val="22"/>
          <w:highlight w:val="lightGray"/>
        </w:rPr>
        <w:t xml:space="preserve">, including the update of its interpretative communications to support the identification of cross-border services taking account of the </w:t>
      </w:r>
      <w:proofErr w:type="spellStart"/>
      <w:r w:rsidRPr="005B2924">
        <w:rPr>
          <w:rFonts w:ascii="Calibri" w:eastAsia="Times New Roman" w:hAnsi="Calibri" w:cs="Calibri"/>
          <w:color w:val="133850"/>
          <w:sz w:val="22"/>
          <w:szCs w:val="22"/>
          <w:highlight w:val="lightGray"/>
        </w:rPr>
        <w:t>digitisation</w:t>
      </w:r>
      <w:proofErr w:type="spellEnd"/>
      <w:r w:rsidRPr="005B2924">
        <w:rPr>
          <w:rFonts w:ascii="Calibri" w:eastAsia="Times New Roman" w:hAnsi="Calibri" w:cs="Calibri"/>
          <w:color w:val="133850"/>
          <w:sz w:val="22"/>
          <w:szCs w:val="22"/>
          <w:highlight w:val="lightGray"/>
        </w:rPr>
        <w:t xml:space="preserve"> of financial services and the development of legislative proposals to further </w:t>
      </w:r>
      <w:proofErr w:type="spellStart"/>
      <w:r w:rsidRPr="005B2924">
        <w:rPr>
          <w:rFonts w:ascii="Calibri" w:eastAsia="Times New Roman" w:hAnsi="Calibri" w:cs="Calibri"/>
          <w:color w:val="133850"/>
          <w:sz w:val="22"/>
          <w:szCs w:val="22"/>
          <w:highlight w:val="lightGray"/>
        </w:rPr>
        <w:t>harmonise</w:t>
      </w:r>
      <w:proofErr w:type="spellEnd"/>
      <w:r w:rsidRPr="005B2924">
        <w:rPr>
          <w:rFonts w:ascii="Calibri" w:eastAsia="Times New Roman" w:hAnsi="Calibri" w:cs="Calibri"/>
          <w:color w:val="133850"/>
          <w:sz w:val="22"/>
          <w:szCs w:val="22"/>
          <w:highlight w:val="lightGray"/>
        </w:rPr>
        <w:t xml:space="preserve"> requirements relating to consumer protection, conduct of business and AML/CFT.</w:t>
      </w:r>
      <w:r w:rsidRPr="00E5479B">
        <w:rPr>
          <w:rFonts w:ascii="Calibri" w:eastAsia="Times New Roman" w:hAnsi="Calibri" w:cs="Calibri"/>
          <w:color w:val="133850"/>
          <w:sz w:val="22"/>
          <w:szCs w:val="22"/>
        </w:rPr>
        <w:t> </w:t>
      </w:r>
    </w:p>
    <w:p w14:paraId="38AFCFC9" w14:textId="77777777" w:rsidR="00E5479B" w:rsidRPr="005B2924" w:rsidRDefault="00E5479B" w:rsidP="00E5479B">
      <w:pPr>
        <w:spacing w:before="240" w:after="120"/>
        <w:jc w:val="both"/>
        <w:rPr>
          <w:rFonts w:ascii="Helvetica" w:eastAsia="Times New Roman" w:hAnsi="Helvetica" w:cs="Times New Roman"/>
          <w:color w:val="133850"/>
          <w:sz w:val="20"/>
          <w:szCs w:val="20"/>
          <w:highlight w:val="yellow"/>
        </w:rPr>
      </w:pPr>
      <w:r w:rsidRPr="005B2924">
        <w:rPr>
          <w:rFonts w:ascii="Calibri" w:eastAsia="Times New Roman" w:hAnsi="Calibri" w:cs="Calibri"/>
          <w:color w:val="133850"/>
          <w:sz w:val="22"/>
          <w:szCs w:val="22"/>
          <w:highlight w:val="yellow"/>
        </w:rPr>
        <w:t>Further information can be found in the report and ‘Q&amp;A’.</w:t>
      </w:r>
    </w:p>
    <w:p w14:paraId="4BC317B4" w14:textId="77777777" w:rsidR="00E5479B" w:rsidRPr="005B2924" w:rsidRDefault="00E5479B" w:rsidP="00E5479B">
      <w:pPr>
        <w:spacing w:before="450" w:after="150"/>
        <w:outlineLvl w:val="2"/>
        <w:rPr>
          <w:rFonts w:ascii="inherit" w:eastAsia="Times New Roman" w:hAnsi="inherit" w:cs="Times New Roman"/>
          <w:color w:val="E18A34"/>
          <w:sz w:val="26"/>
          <w:szCs w:val="26"/>
          <w:highlight w:val="yellow"/>
        </w:rPr>
      </w:pPr>
      <w:r w:rsidRPr="005B2924">
        <w:rPr>
          <w:rFonts w:ascii="inherit" w:eastAsia="Times New Roman" w:hAnsi="inherit" w:cs="Times New Roman"/>
          <w:color w:val="E18A34"/>
          <w:sz w:val="26"/>
          <w:szCs w:val="26"/>
          <w:highlight w:val="yellow"/>
        </w:rPr>
        <w:t>Legal basis and background</w:t>
      </w:r>
    </w:p>
    <w:p w14:paraId="16712B63" w14:textId="77777777" w:rsidR="00E5479B" w:rsidRPr="005B2924" w:rsidRDefault="00E5479B" w:rsidP="00E5479B">
      <w:pPr>
        <w:spacing w:before="240" w:after="120"/>
        <w:jc w:val="both"/>
        <w:rPr>
          <w:rFonts w:ascii="Helvetica" w:eastAsia="Times New Roman" w:hAnsi="Helvetica" w:cs="Times New Roman"/>
          <w:color w:val="133850"/>
          <w:sz w:val="20"/>
          <w:szCs w:val="20"/>
          <w:highlight w:val="yellow"/>
        </w:rPr>
      </w:pPr>
      <w:r w:rsidRPr="005B2924">
        <w:rPr>
          <w:rFonts w:ascii="Calibri" w:eastAsia="Times New Roman" w:hAnsi="Calibri" w:cs="Calibri"/>
          <w:color w:val="133850"/>
          <w:sz w:val="22"/>
          <w:szCs w:val="22"/>
          <w:highlight w:val="yellow"/>
        </w:rPr>
        <w:t>The Report has been prepared pursuant to Article 9(4) of the EBA's Founding Regulation which mandates the EBA to establish a Committee on financial innovation ‘which brings together all relevant competent national and supervisory authorities with a view to achieving a coordinated approach to the regulatory and supervisory treatment of new or innovative financial activities and providing advice for the Authority to present to the European Parliament, Council and the European Commission'.</w:t>
      </w:r>
    </w:p>
    <w:p w14:paraId="0E9A2406" w14:textId="77777777" w:rsidR="00E5479B" w:rsidRPr="00E5479B" w:rsidRDefault="00E5479B" w:rsidP="00E5479B">
      <w:pPr>
        <w:spacing w:before="240" w:after="120"/>
        <w:jc w:val="both"/>
        <w:rPr>
          <w:rFonts w:ascii="Helvetica" w:eastAsia="Times New Roman" w:hAnsi="Helvetica" w:cs="Times New Roman"/>
          <w:color w:val="133850"/>
          <w:sz w:val="20"/>
          <w:szCs w:val="20"/>
        </w:rPr>
      </w:pPr>
      <w:r w:rsidRPr="005B2924">
        <w:rPr>
          <w:rFonts w:ascii="Calibri" w:eastAsia="Times New Roman" w:hAnsi="Calibri" w:cs="Calibri"/>
          <w:color w:val="133850"/>
          <w:sz w:val="22"/>
          <w:szCs w:val="22"/>
          <w:highlight w:val="yellow"/>
        </w:rPr>
        <w:lastRenderedPageBreak/>
        <w:t>In accordance with the March 2018 European Commission </w:t>
      </w:r>
      <w:hyperlink r:id="rId4" w:history="1">
        <w:r w:rsidRPr="005B2924">
          <w:rPr>
            <w:rFonts w:ascii="Calibri" w:eastAsia="Times New Roman" w:hAnsi="Calibri" w:cs="Calibri"/>
            <w:color w:val="2F5773"/>
            <w:sz w:val="22"/>
            <w:szCs w:val="22"/>
            <w:highlight w:val="yellow"/>
            <w:u w:val="single"/>
          </w:rPr>
          <w:t>FinTech Action Plan</w:t>
        </w:r>
      </w:hyperlink>
      <w:r w:rsidRPr="005B2924">
        <w:rPr>
          <w:rFonts w:ascii="Calibri" w:eastAsia="Times New Roman" w:hAnsi="Calibri" w:cs="Calibri"/>
          <w:color w:val="133850"/>
          <w:sz w:val="22"/>
          <w:szCs w:val="22"/>
          <w:highlight w:val="yellow"/>
        </w:rPr>
        <w:t> and the </w:t>
      </w:r>
      <w:hyperlink r:id="rId5" w:history="1">
        <w:r w:rsidRPr="005B2924">
          <w:rPr>
            <w:rFonts w:ascii="Calibri" w:eastAsia="Times New Roman" w:hAnsi="Calibri" w:cs="Calibri"/>
            <w:color w:val="2F5773"/>
            <w:sz w:val="22"/>
            <w:szCs w:val="22"/>
            <w:highlight w:val="yellow"/>
            <w:u w:val="single"/>
          </w:rPr>
          <w:t>EBA FinTech Roadmap</w:t>
        </w:r>
      </w:hyperlink>
      <w:r w:rsidRPr="005B2924">
        <w:rPr>
          <w:rFonts w:ascii="Calibri" w:eastAsia="Times New Roman" w:hAnsi="Calibri" w:cs="Calibri"/>
          <w:color w:val="133850"/>
          <w:sz w:val="22"/>
          <w:szCs w:val="22"/>
          <w:highlight w:val="yellow"/>
        </w:rPr>
        <w:t>, the EBA has been carrying out work to assess potential issues that firms, particularly those using digital means, may face when seeking to provide services cross-border. This work is intended to complement the work underway by the </w:t>
      </w:r>
      <w:hyperlink r:id="rId6" w:history="1">
        <w:r w:rsidRPr="005B2924">
          <w:rPr>
            <w:rFonts w:ascii="Calibri" w:eastAsia="Times New Roman" w:hAnsi="Calibri" w:cs="Calibri"/>
            <w:color w:val="2F5773"/>
            <w:sz w:val="22"/>
            <w:szCs w:val="22"/>
            <w:highlight w:val="yellow"/>
            <w:u w:val="single"/>
          </w:rPr>
          <w:t>European Commission’s Expert Group on Regulatory Obstacles to Financial Innovation (ROFIEG)</w:t>
        </w:r>
      </w:hyperlink>
      <w:r w:rsidRPr="005B2924">
        <w:rPr>
          <w:rFonts w:ascii="Calibri" w:eastAsia="Times New Roman" w:hAnsi="Calibri" w:cs="Calibri"/>
          <w:color w:val="133850"/>
          <w:sz w:val="22"/>
          <w:szCs w:val="22"/>
          <w:highlight w:val="yellow"/>
        </w:rPr>
        <w:t>, due to report in the coming months.</w:t>
      </w:r>
    </w:p>
    <w:p w14:paraId="1B802418"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33F"/>
    <w:rsid w:val="00453EED"/>
    <w:rsid w:val="005B2924"/>
    <w:rsid w:val="00B2433F"/>
    <w:rsid w:val="00BE080D"/>
    <w:rsid w:val="00E547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9A2BC0"/>
  <w14:defaultImageDpi w14:val="32767"/>
  <w15:chartTrackingRefBased/>
  <w15:docId w15:val="{773AA750-58D8-4E4B-BEE8-78329B8C4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E5479B"/>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5479B"/>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5479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5479B"/>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E5479B"/>
  </w:style>
  <w:style w:type="paragraph" w:customStyle="1" w:styleId="secondaryinfo">
    <w:name w:val="secondaryinfo"/>
    <w:basedOn w:val="Normal"/>
    <w:rsid w:val="00E5479B"/>
    <w:pPr>
      <w:spacing w:before="100" w:beforeAutospacing="1" w:after="100" w:afterAutospacing="1"/>
    </w:pPr>
    <w:rPr>
      <w:rFonts w:ascii="Times New Roman" w:eastAsia="Times New Roman" w:hAnsi="Times New Roman" w:cs="Times New Roman"/>
    </w:rPr>
  </w:style>
  <w:style w:type="paragraph" w:customStyle="1" w:styleId="body">
    <w:name w:val="body"/>
    <w:basedOn w:val="Normal"/>
    <w:rsid w:val="00E5479B"/>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E5479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5917074">
      <w:bodyDiv w:val="1"/>
      <w:marLeft w:val="0"/>
      <w:marRight w:val="0"/>
      <w:marTop w:val="0"/>
      <w:marBottom w:val="0"/>
      <w:divBdr>
        <w:top w:val="none" w:sz="0" w:space="0" w:color="auto"/>
        <w:left w:val="none" w:sz="0" w:space="0" w:color="auto"/>
        <w:bottom w:val="none" w:sz="0" w:space="0" w:color="auto"/>
        <w:right w:val="none" w:sz="0" w:space="0" w:color="auto"/>
      </w:divBdr>
      <w:divsChild>
        <w:div w:id="207038778">
          <w:marLeft w:val="0"/>
          <w:marRight w:val="0"/>
          <w:marTop w:val="0"/>
          <w:marBottom w:val="0"/>
          <w:divBdr>
            <w:top w:val="none" w:sz="0" w:space="0" w:color="auto"/>
            <w:left w:val="none" w:sz="0" w:space="0" w:color="auto"/>
            <w:bottom w:val="none" w:sz="0" w:space="0" w:color="auto"/>
            <w:right w:val="none" w:sz="0" w:space="0" w:color="auto"/>
          </w:divBdr>
          <w:divsChild>
            <w:div w:id="195062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ur-lex.europa.eu/resource.html?uri=cellar:6793c578-22e6-11e8-ac73-01aa75ed71a1.0001.02/DOC_1&amp;format=PDF." TargetMode="External"/><Relationship Id="rId5" Type="http://schemas.openxmlformats.org/officeDocument/2006/relationships/hyperlink" Target="https://eba.europa.eu/documents/10180/1919160/EBA+FinTech+Roadmap.pdf" TargetMode="External"/><Relationship Id="rId4" Type="http://schemas.openxmlformats.org/officeDocument/2006/relationships/hyperlink" Target="https://ec.europa.eu/info/publications/180308-action-plan-fintech_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571</Words>
  <Characters>3256</Characters>
  <Application>Microsoft Office Word</Application>
  <DocSecurity>0</DocSecurity>
  <Lines>27</Lines>
  <Paragraphs>7</Paragraphs>
  <ScaleCrop>false</ScaleCrop>
  <Company/>
  <LinksUpToDate>false</LinksUpToDate>
  <CharactersWithSpaces>3820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2020-02-15T08:55:00Z</dcterms:created>
  <dcterms:modified xsi:type="dcterms:W3CDTF">2020-04-13T10:29:00Z</dcterms:modified>
</cp:coreProperties>
</file>