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1C65F" w14:textId="77777777" w:rsidR="00AE7416" w:rsidRPr="00AE7416" w:rsidRDefault="00AE7416" w:rsidP="00AE7416">
      <w:pPr>
        <w:spacing w:before="450" w:after="375"/>
        <w:outlineLvl w:val="1"/>
        <w:rPr>
          <w:rFonts w:ascii="Helvetica" w:eastAsia="Times New Roman" w:hAnsi="Helvetica" w:cs="Times New Roman"/>
          <w:color w:val="133850"/>
          <w:sz w:val="30"/>
          <w:szCs w:val="30"/>
        </w:rPr>
      </w:pPr>
      <w:r w:rsidRPr="00AE7416">
        <w:rPr>
          <w:rFonts w:ascii="Helvetica" w:eastAsia="Times New Roman" w:hAnsi="Helvetica" w:cs="Times New Roman"/>
          <w:color w:val="133850"/>
          <w:sz w:val="30"/>
          <w:szCs w:val="30"/>
        </w:rPr>
        <w:t>EBA publishes Opinion on disclosure to consumers buying financial services through digital channels </w:t>
      </w:r>
    </w:p>
    <w:p w14:paraId="5F7423D2" w14:textId="77777777" w:rsidR="00AE7416" w:rsidRPr="00AE7416" w:rsidRDefault="00AE7416" w:rsidP="00AE7416">
      <w:pPr>
        <w:spacing w:after="150"/>
        <w:rPr>
          <w:rFonts w:ascii="Helvetica" w:eastAsia="Times New Roman" w:hAnsi="Helvetica" w:cs="Times New Roman"/>
          <w:color w:val="8199A8"/>
          <w:sz w:val="20"/>
          <w:szCs w:val="20"/>
        </w:rPr>
      </w:pPr>
      <w:r w:rsidRPr="00AE7416">
        <w:rPr>
          <w:rFonts w:ascii="Helvetica" w:eastAsia="Times New Roman" w:hAnsi="Helvetica" w:cs="Times New Roman"/>
          <w:color w:val="8199A8"/>
          <w:sz w:val="20"/>
          <w:szCs w:val="20"/>
        </w:rPr>
        <w:t>23 October 2019</w:t>
      </w:r>
    </w:p>
    <w:p w14:paraId="058F0C0E" w14:textId="77777777" w:rsidR="00AE7416" w:rsidRPr="00AE7416" w:rsidRDefault="00AE7416" w:rsidP="00AE7416">
      <w:pPr>
        <w:spacing w:after="150"/>
        <w:rPr>
          <w:rFonts w:ascii="Helvetica" w:eastAsia="Times New Roman" w:hAnsi="Helvetica" w:cs="Times New Roman"/>
          <w:color w:val="133850"/>
          <w:sz w:val="20"/>
          <w:szCs w:val="20"/>
        </w:rPr>
      </w:pPr>
      <w:r w:rsidRPr="00AE7416">
        <w:rPr>
          <w:rFonts w:ascii="Helvetica" w:eastAsia="Times New Roman" w:hAnsi="Helvetica" w:cs="Times New Roman"/>
          <w:b/>
          <w:bCs/>
          <w:color w:val="133850"/>
          <w:sz w:val="20"/>
          <w:szCs w:val="20"/>
        </w:rPr>
        <w:t xml:space="preserve">The European Banking Authority (EBA) published today an Opinion addressed to the EU Commission </w:t>
      </w:r>
      <w:r w:rsidRPr="00684C02">
        <w:rPr>
          <w:rFonts w:ascii="Helvetica" w:eastAsia="Times New Roman" w:hAnsi="Helvetica" w:cs="Times New Roman"/>
          <w:b/>
          <w:bCs/>
          <w:color w:val="133850"/>
          <w:sz w:val="20"/>
          <w:szCs w:val="20"/>
          <w:highlight w:val="lightGray"/>
        </w:rPr>
        <w:t>with recommendations to ensure that disclosure requirements in EU law take account of the increasing use of digital marketing channels for financial services and the resultant issues potentially affecting consumers</w:t>
      </w:r>
      <w:bookmarkStart w:id="0" w:name="_GoBack"/>
      <w:bookmarkEnd w:id="0"/>
      <w:r w:rsidRPr="00AE7416">
        <w:rPr>
          <w:rFonts w:ascii="Helvetica" w:eastAsia="Times New Roman" w:hAnsi="Helvetica" w:cs="Times New Roman"/>
          <w:b/>
          <w:bCs/>
          <w:color w:val="133850"/>
          <w:sz w:val="20"/>
          <w:szCs w:val="20"/>
        </w:rPr>
        <w:t xml:space="preserve">. </w:t>
      </w:r>
      <w:r w:rsidRPr="00684C02">
        <w:rPr>
          <w:rFonts w:ascii="Helvetica" w:eastAsia="Times New Roman" w:hAnsi="Helvetica" w:cs="Times New Roman"/>
          <w:b/>
          <w:bCs/>
          <w:color w:val="133850"/>
          <w:sz w:val="20"/>
          <w:szCs w:val="20"/>
          <w:highlight w:val="lightGray"/>
        </w:rPr>
        <w:t xml:space="preserve">The recommendations relate primarily to the scope and consistency of disclosure rules, the timing of disclosure, the presentation format and accessibility of information. In addition, they cover advertisements, pre-contractual information, rights of withdrawal, complaints handling and </w:t>
      </w:r>
      <w:proofErr w:type="spellStart"/>
      <w:r w:rsidRPr="00684C02">
        <w:rPr>
          <w:rFonts w:ascii="Helvetica" w:eastAsia="Times New Roman" w:hAnsi="Helvetica" w:cs="Times New Roman"/>
          <w:b/>
          <w:bCs/>
          <w:color w:val="133850"/>
          <w:sz w:val="20"/>
          <w:szCs w:val="20"/>
          <w:highlight w:val="lightGray"/>
        </w:rPr>
        <w:t>post sale</w:t>
      </w:r>
      <w:proofErr w:type="spellEnd"/>
      <w:r w:rsidRPr="00684C02">
        <w:rPr>
          <w:rFonts w:ascii="Helvetica" w:eastAsia="Times New Roman" w:hAnsi="Helvetica" w:cs="Times New Roman"/>
          <w:b/>
          <w:bCs/>
          <w:color w:val="133850"/>
          <w:sz w:val="20"/>
          <w:szCs w:val="20"/>
          <w:highlight w:val="lightGray"/>
        </w:rPr>
        <w:t xml:space="preserve"> information.</w:t>
      </w:r>
    </w:p>
    <w:p w14:paraId="5BCE239D" w14:textId="77777777" w:rsidR="00AE7416" w:rsidRPr="00AE7416" w:rsidRDefault="00AE7416" w:rsidP="00AE7416">
      <w:pPr>
        <w:spacing w:after="150"/>
        <w:rPr>
          <w:rFonts w:ascii="Helvetica" w:eastAsia="Times New Roman" w:hAnsi="Helvetica" w:cs="Times New Roman"/>
          <w:color w:val="133850"/>
          <w:sz w:val="20"/>
          <w:szCs w:val="20"/>
        </w:rPr>
      </w:pPr>
      <w:r w:rsidRPr="00684C02">
        <w:rPr>
          <w:rFonts w:ascii="Helvetica" w:eastAsia="Times New Roman" w:hAnsi="Helvetica" w:cs="Times New Roman"/>
          <w:color w:val="133850"/>
          <w:sz w:val="20"/>
          <w:szCs w:val="20"/>
          <w:highlight w:val="lightGray"/>
        </w:rPr>
        <w:t>In order for consumers to make informed decisions about their financial products and services, they should have access to high-quality information, which should be provided at the appropriate time, via suitable means, and explaining the features and costs across the lifetime of the service.</w:t>
      </w:r>
    </w:p>
    <w:p w14:paraId="0E393686" w14:textId="77777777" w:rsidR="00AE7416" w:rsidRPr="00684C02" w:rsidRDefault="00AE7416" w:rsidP="00AE7416">
      <w:pPr>
        <w:spacing w:after="150"/>
        <w:rPr>
          <w:rFonts w:ascii="Helvetica" w:eastAsia="Times New Roman" w:hAnsi="Helvetica" w:cs="Times New Roman"/>
          <w:color w:val="FF0000"/>
          <w:sz w:val="20"/>
          <w:szCs w:val="20"/>
        </w:rPr>
      </w:pPr>
      <w:r w:rsidRPr="00684C02">
        <w:rPr>
          <w:rFonts w:ascii="Helvetica" w:eastAsia="Times New Roman" w:hAnsi="Helvetica" w:cs="Times New Roman"/>
          <w:color w:val="133850"/>
          <w:sz w:val="20"/>
          <w:szCs w:val="20"/>
          <w:highlight w:val="yellow"/>
        </w:rPr>
        <w:t xml:space="preserve">In the EU, relevant requirements for the marketing of services that are bought at a distance are set out in the Distance Marketing of Financial Services Directive (2002/65/EC, DMFSD). </w:t>
      </w:r>
      <w:r w:rsidRPr="00684C02">
        <w:rPr>
          <w:rFonts w:ascii="Helvetica" w:eastAsia="Times New Roman" w:hAnsi="Helvetica" w:cs="Times New Roman"/>
          <w:color w:val="133850"/>
          <w:sz w:val="20"/>
          <w:szCs w:val="20"/>
          <w:highlight w:val="lightGray"/>
        </w:rPr>
        <w:t xml:space="preserve">The European Commission is currently evaluating the effectiveness of this Directive. </w:t>
      </w:r>
      <w:r w:rsidRPr="00684C02">
        <w:rPr>
          <w:rFonts w:ascii="Helvetica" w:eastAsia="Times New Roman" w:hAnsi="Helvetica" w:cs="Times New Roman"/>
          <w:color w:val="FF0000"/>
          <w:sz w:val="20"/>
          <w:szCs w:val="20"/>
          <w:highlight w:val="lightGray"/>
        </w:rPr>
        <w:t>Today’s opinion aims at providing input to the Commission’s evaluation, by providing recommendations as to how the Directive could be amended in order to ensure that it takes account of the increasing use of digital marketing channels and the resultant issues that potentially arise for consumers.</w:t>
      </w:r>
    </w:p>
    <w:p w14:paraId="43ED6927" w14:textId="77777777" w:rsidR="00AE7416" w:rsidRPr="00684C02" w:rsidRDefault="00AE7416" w:rsidP="00AE7416">
      <w:pPr>
        <w:spacing w:before="450" w:after="150"/>
        <w:outlineLvl w:val="2"/>
        <w:rPr>
          <w:rFonts w:ascii="inherit" w:eastAsia="Times New Roman" w:hAnsi="inherit" w:cs="Times New Roman"/>
          <w:color w:val="E18A34"/>
          <w:sz w:val="26"/>
          <w:szCs w:val="26"/>
          <w:highlight w:val="yellow"/>
        </w:rPr>
      </w:pPr>
      <w:r w:rsidRPr="00684C02">
        <w:rPr>
          <w:rFonts w:ascii="inherit" w:eastAsia="Times New Roman" w:hAnsi="inherit" w:cs="Times New Roman"/>
          <w:color w:val="E18A34"/>
          <w:sz w:val="26"/>
          <w:szCs w:val="26"/>
          <w:highlight w:val="yellow"/>
        </w:rPr>
        <w:t>Legal basis</w:t>
      </w:r>
    </w:p>
    <w:p w14:paraId="05E7D909" w14:textId="77777777" w:rsidR="00AE7416" w:rsidRPr="00684C02" w:rsidRDefault="00AE7416" w:rsidP="00AE7416">
      <w:pPr>
        <w:spacing w:after="150"/>
        <w:rPr>
          <w:rFonts w:ascii="Helvetica" w:eastAsia="Times New Roman" w:hAnsi="Helvetica" w:cs="Times New Roman"/>
          <w:color w:val="133850"/>
          <w:sz w:val="20"/>
          <w:szCs w:val="20"/>
          <w:highlight w:val="yellow"/>
        </w:rPr>
      </w:pPr>
      <w:r w:rsidRPr="00684C02">
        <w:rPr>
          <w:rFonts w:ascii="Helvetica" w:eastAsia="Times New Roman" w:hAnsi="Helvetica" w:cs="Times New Roman"/>
          <w:color w:val="133850"/>
          <w:sz w:val="20"/>
          <w:szCs w:val="20"/>
          <w:highlight w:val="yellow"/>
        </w:rPr>
        <w:t>The EBA’s competence to deliver this opinion is based on Article 34(1) of Regulation (EU) No 1093/2010 (the EBA Regulation), as information requirements under the DMFSD relates to the EBA’s area of competence.</w:t>
      </w:r>
      <w:bookmarkStart w:id="1" w:name="_ftnref1"/>
      <w:r w:rsidRPr="00684C02">
        <w:rPr>
          <w:rFonts w:ascii="Helvetica" w:eastAsia="Times New Roman" w:hAnsi="Helvetica" w:cs="Times New Roman"/>
          <w:color w:val="133850"/>
          <w:sz w:val="20"/>
          <w:szCs w:val="20"/>
          <w:highlight w:val="yellow"/>
        </w:rPr>
        <w:fldChar w:fldCharType="begin"/>
      </w:r>
      <w:r w:rsidRPr="00684C02">
        <w:rPr>
          <w:rFonts w:ascii="Helvetica" w:eastAsia="Times New Roman" w:hAnsi="Helvetica" w:cs="Times New Roman"/>
          <w:color w:val="133850"/>
          <w:sz w:val="20"/>
          <w:szCs w:val="20"/>
          <w:highlight w:val="yellow"/>
        </w:rPr>
        <w:instrText xml:space="preserve"> HYPERLINK "https://eba.europa.eu/eba-publishes-opinion-disclosure-consumers-buying-financial-services-through-digital-channels" \l "_ftn1" \o "" </w:instrText>
      </w:r>
      <w:r w:rsidRPr="00684C02">
        <w:rPr>
          <w:rFonts w:ascii="Helvetica" w:eastAsia="Times New Roman" w:hAnsi="Helvetica" w:cs="Times New Roman"/>
          <w:color w:val="133850"/>
          <w:sz w:val="20"/>
          <w:szCs w:val="20"/>
          <w:highlight w:val="yellow"/>
        </w:rPr>
        <w:fldChar w:fldCharType="separate"/>
      </w:r>
      <w:r w:rsidRPr="00684C02">
        <w:rPr>
          <w:rFonts w:ascii="Helvetica" w:eastAsia="Times New Roman" w:hAnsi="Helvetica" w:cs="Times New Roman"/>
          <w:color w:val="267EB7"/>
          <w:sz w:val="20"/>
          <w:szCs w:val="20"/>
          <w:highlight w:val="yellow"/>
          <w:u w:val="single"/>
        </w:rPr>
        <w:t>[1]</w:t>
      </w:r>
      <w:r w:rsidRPr="00684C02">
        <w:rPr>
          <w:rFonts w:ascii="Helvetica" w:eastAsia="Times New Roman" w:hAnsi="Helvetica" w:cs="Times New Roman"/>
          <w:color w:val="133850"/>
          <w:sz w:val="20"/>
          <w:szCs w:val="20"/>
          <w:highlight w:val="yellow"/>
        </w:rPr>
        <w:fldChar w:fldCharType="end"/>
      </w:r>
      <w:bookmarkEnd w:id="1"/>
      <w:r w:rsidRPr="00684C02">
        <w:rPr>
          <w:rFonts w:ascii="Helvetica" w:eastAsia="Times New Roman" w:hAnsi="Helvetica" w:cs="Times New Roman"/>
          <w:color w:val="133850"/>
          <w:sz w:val="20"/>
          <w:szCs w:val="20"/>
          <w:highlight w:val="yellow"/>
        </w:rPr>
        <w:t> In addition, Article 9(1)(d) requires the EBA to take a leading role in promoting transparency, simplicity and fairness in the market for consumer financial products or services across the internal market, inter alia by contributing to the development of common disclosure rules.</w:t>
      </w:r>
    </w:p>
    <w:p w14:paraId="2A7DD5E9" w14:textId="77777777" w:rsidR="00AE7416" w:rsidRPr="00AE7416" w:rsidRDefault="00AE7416" w:rsidP="00AE7416">
      <w:pPr>
        <w:spacing w:after="150"/>
        <w:rPr>
          <w:rFonts w:ascii="Helvetica" w:eastAsia="Times New Roman" w:hAnsi="Helvetica" w:cs="Times New Roman"/>
          <w:color w:val="133850"/>
          <w:sz w:val="20"/>
          <w:szCs w:val="20"/>
        </w:rPr>
      </w:pPr>
      <w:r w:rsidRPr="00684C02">
        <w:rPr>
          <w:rFonts w:ascii="Helvetica" w:eastAsia="Times New Roman" w:hAnsi="Helvetica" w:cs="Times New Roman"/>
          <w:color w:val="133850"/>
          <w:sz w:val="20"/>
          <w:szCs w:val="20"/>
          <w:highlight w:val="yellow"/>
        </w:rPr>
        <w:t>Furthermore, the Opinion is based on Article 9(2), which mandates the EBA to monitor new and existing financial activities and to adopt guidelines and recommendations with a view to promoting the safety and soundness of markets and convergence of regulatory practice, and on Article 9(4), which mandates the EBA to provide advice to the European Parliament, the Council and the Commission on new or innovative financial activities.</w:t>
      </w:r>
    </w:p>
    <w:p w14:paraId="3884027E" w14:textId="77777777" w:rsidR="00AE7416" w:rsidRPr="00AE7416" w:rsidRDefault="00AE7416" w:rsidP="00AE7416">
      <w:pPr>
        <w:rPr>
          <w:rFonts w:ascii="Helvetica" w:eastAsia="Times New Roman" w:hAnsi="Helvetica" w:cs="Times New Roman"/>
          <w:color w:val="133850"/>
          <w:sz w:val="20"/>
          <w:szCs w:val="20"/>
        </w:rPr>
      </w:pPr>
      <w:r w:rsidRPr="00AE7416">
        <w:rPr>
          <w:rFonts w:ascii="Helvetica" w:eastAsia="Times New Roman" w:hAnsi="Helvetica" w:cs="Times New Roman"/>
          <w:color w:val="133850"/>
          <w:sz w:val="20"/>
          <w:szCs w:val="20"/>
        </w:rPr>
        <w:t> </w:t>
      </w:r>
    </w:p>
    <w:p w14:paraId="3B60741D" w14:textId="77777777" w:rsidR="00AE7416" w:rsidRPr="00AE7416" w:rsidRDefault="00C65785" w:rsidP="00AE7416">
      <w:pPr>
        <w:spacing w:before="300" w:after="300"/>
        <w:rPr>
          <w:rFonts w:ascii="Helvetica" w:eastAsia="Times New Roman" w:hAnsi="Helvetica" w:cs="Times New Roman"/>
          <w:color w:val="133850"/>
          <w:sz w:val="20"/>
          <w:szCs w:val="20"/>
        </w:rPr>
      </w:pPr>
      <w:r>
        <w:rPr>
          <w:rFonts w:ascii="Helvetica" w:eastAsia="Times New Roman" w:hAnsi="Helvetica" w:cs="Times New Roman"/>
          <w:noProof/>
          <w:color w:val="133850"/>
          <w:sz w:val="20"/>
          <w:szCs w:val="20"/>
        </w:rPr>
        <w:pict w14:anchorId="7670B30C">
          <v:rect id="_x0000_i1025" alt="" style="width:154.45pt;height:.05pt;mso-width-percent:0;mso-height-percent:0;mso-width-percent:0;mso-height-percent:0" o:hrpct="330" o:hrstd="t" o:hr="t" fillcolor="#a0a0a0" stroked="f"/>
        </w:pict>
      </w:r>
    </w:p>
    <w:bookmarkStart w:id="2" w:name="_ftn1"/>
    <w:p w14:paraId="7E535C4A" w14:textId="77777777" w:rsidR="00AE7416" w:rsidRPr="00AE7416" w:rsidRDefault="00AE7416" w:rsidP="00AE7416">
      <w:pPr>
        <w:spacing w:before="80"/>
        <w:jc w:val="both"/>
        <w:rPr>
          <w:rFonts w:ascii="Helvetica" w:eastAsia="Times New Roman" w:hAnsi="Helvetica" w:cs="Times New Roman"/>
          <w:color w:val="133850"/>
          <w:sz w:val="20"/>
          <w:szCs w:val="20"/>
        </w:rPr>
      </w:pPr>
      <w:r w:rsidRPr="00AE7416">
        <w:rPr>
          <w:rFonts w:ascii="Calibri" w:eastAsia="Times New Roman" w:hAnsi="Calibri" w:cs="Calibri"/>
          <w:color w:val="133850"/>
          <w:sz w:val="18"/>
          <w:szCs w:val="18"/>
        </w:rPr>
        <w:fldChar w:fldCharType="begin"/>
      </w:r>
      <w:r w:rsidRPr="00AE7416">
        <w:rPr>
          <w:rFonts w:ascii="Calibri" w:eastAsia="Times New Roman" w:hAnsi="Calibri" w:cs="Calibri"/>
          <w:color w:val="133850"/>
          <w:sz w:val="18"/>
          <w:szCs w:val="18"/>
        </w:rPr>
        <w:instrText xml:space="preserve"> HYPERLINK "https://eba.europa.eu/eba-publishes-opinion-disclosure-consumers-buying-financial-services-through-digital-channels" \l "_ftnref1" \o "" </w:instrText>
      </w:r>
      <w:r w:rsidRPr="00AE7416">
        <w:rPr>
          <w:rFonts w:ascii="Calibri" w:eastAsia="Times New Roman" w:hAnsi="Calibri" w:cs="Calibri"/>
          <w:color w:val="133850"/>
          <w:sz w:val="18"/>
          <w:szCs w:val="18"/>
        </w:rPr>
        <w:fldChar w:fldCharType="separate"/>
      </w:r>
      <w:r w:rsidRPr="00AE7416">
        <w:rPr>
          <w:rFonts w:ascii="Calibri" w:eastAsia="Times New Roman" w:hAnsi="Calibri" w:cs="Calibri"/>
          <w:color w:val="267EB7"/>
          <w:sz w:val="22"/>
          <w:szCs w:val="22"/>
          <w:vertAlign w:val="superscript"/>
        </w:rPr>
        <w:t>[1]</w:t>
      </w:r>
      <w:r w:rsidRPr="00AE7416">
        <w:rPr>
          <w:rFonts w:ascii="Calibri" w:eastAsia="Times New Roman" w:hAnsi="Calibri" w:cs="Calibri"/>
          <w:color w:val="133850"/>
          <w:sz w:val="18"/>
          <w:szCs w:val="18"/>
        </w:rPr>
        <w:fldChar w:fldCharType="end"/>
      </w:r>
      <w:bookmarkEnd w:id="2"/>
      <w:r w:rsidRPr="00AE7416">
        <w:rPr>
          <w:rFonts w:ascii="Calibri" w:eastAsia="Times New Roman" w:hAnsi="Calibri" w:cs="Calibri"/>
          <w:color w:val="133850"/>
          <w:sz w:val="18"/>
          <w:szCs w:val="18"/>
        </w:rPr>
        <w:t> Regulation (EU) No 1093/2010 of the European Parliament and of the Council of 24 November 2010 establishing a European Supervisory Authority (European Banking Authority) amending Decision No 716/2009/EC and repealing Commission Decision 2009/78/EC (OJ L 331, 15.12.2010, p. 12).</w:t>
      </w:r>
    </w:p>
    <w:p w14:paraId="15D4AC5F"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B1B"/>
    <w:rsid w:val="000C1B1B"/>
    <w:rsid w:val="00453EED"/>
    <w:rsid w:val="00556F1C"/>
    <w:rsid w:val="00684C02"/>
    <w:rsid w:val="00AE7416"/>
    <w:rsid w:val="00BE080D"/>
    <w:rsid w:val="00C65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42ABB"/>
  <w14:defaultImageDpi w14:val="32767"/>
  <w15:chartTrackingRefBased/>
  <w15:docId w15:val="{A2A45039-13F1-CB49-84D1-C12229B2B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E741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E7416"/>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741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E741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AE7416"/>
  </w:style>
  <w:style w:type="paragraph" w:customStyle="1" w:styleId="secondaryinfo">
    <w:name w:val="secondaryinfo"/>
    <w:basedOn w:val="Normal"/>
    <w:rsid w:val="00AE7416"/>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E741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E7416"/>
    <w:rPr>
      <w:b/>
      <w:bCs/>
    </w:rPr>
  </w:style>
  <w:style w:type="character" w:styleId="Hyperlink">
    <w:name w:val="Hyperlink"/>
    <w:basedOn w:val="DefaultParagraphFont"/>
    <w:uiPriority w:val="99"/>
    <w:semiHidden/>
    <w:unhideWhenUsed/>
    <w:rsid w:val="00AE7416"/>
    <w:rPr>
      <w:color w:val="0000FF"/>
      <w:u w:val="single"/>
    </w:rPr>
  </w:style>
  <w:style w:type="paragraph" w:styleId="FootnoteText">
    <w:name w:val="footnote text"/>
    <w:basedOn w:val="Normal"/>
    <w:link w:val="FootnoteTextChar"/>
    <w:uiPriority w:val="99"/>
    <w:semiHidden/>
    <w:unhideWhenUsed/>
    <w:rsid w:val="00AE7416"/>
    <w:pPr>
      <w:spacing w:before="100" w:beforeAutospacing="1" w:after="100" w:afterAutospacing="1"/>
    </w:pPr>
    <w:rPr>
      <w:rFonts w:ascii="Times New Roman" w:eastAsia="Times New Roman" w:hAnsi="Times New Roman" w:cs="Times New Roman"/>
    </w:rPr>
  </w:style>
  <w:style w:type="character" w:customStyle="1" w:styleId="FootnoteTextChar">
    <w:name w:val="Footnote Text Char"/>
    <w:basedOn w:val="DefaultParagraphFont"/>
    <w:link w:val="FootnoteText"/>
    <w:uiPriority w:val="99"/>
    <w:semiHidden/>
    <w:rsid w:val="00AE7416"/>
    <w:rPr>
      <w:rFonts w:ascii="Times New Roman" w:eastAsia="Times New Roman" w:hAnsi="Times New Roman" w:cs="Times New Roman"/>
    </w:rPr>
  </w:style>
  <w:style w:type="character" w:styleId="FootnoteReference">
    <w:name w:val="footnote reference"/>
    <w:basedOn w:val="DefaultParagraphFont"/>
    <w:uiPriority w:val="99"/>
    <w:semiHidden/>
    <w:unhideWhenUsed/>
    <w:rsid w:val="00AE7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515711">
      <w:bodyDiv w:val="1"/>
      <w:marLeft w:val="0"/>
      <w:marRight w:val="0"/>
      <w:marTop w:val="0"/>
      <w:marBottom w:val="0"/>
      <w:divBdr>
        <w:top w:val="none" w:sz="0" w:space="0" w:color="auto"/>
        <w:left w:val="none" w:sz="0" w:space="0" w:color="auto"/>
        <w:bottom w:val="none" w:sz="0" w:space="0" w:color="auto"/>
        <w:right w:val="none" w:sz="0" w:space="0" w:color="auto"/>
      </w:divBdr>
      <w:divsChild>
        <w:div w:id="1550920602">
          <w:marLeft w:val="0"/>
          <w:marRight w:val="0"/>
          <w:marTop w:val="0"/>
          <w:marBottom w:val="0"/>
          <w:divBdr>
            <w:top w:val="none" w:sz="0" w:space="0" w:color="auto"/>
            <w:left w:val="none" w:sz="0" w:space="0" w:color="auto"/>
            <w:bottom w:val="none" w:sz="0" w:space="0" w:color="auto"/>
            <w:right w:val="none" w:sz="0" w:space="0" w:color="auto"/>
          </w:divBdr>
          <w:divsChild>
            <w:div w:id="180053962">
              <w:marLeft w:val="0"/>
              <w:marRight w:val="0"/>
              <w:marTop w:val="0"/>
              <w:marBottom w:val="0"/>
              <w:divBdr>
                <w:top w:val="none" w:sz="0" w:space="0" w:color="auto"/>
                <w:left w:val="none" w:sz="0" w:space="0" w:color="auto"/>
                <w:bottom w:val="none" w:sz="0" w:space="0" w:color="auto"/>
                <w:right w:val="none" w:sz="0" w:space="0" w:color="auto"/>
              </w:divBdr>
              <w:divsChild>
                <w:div w:id="1854101167">
                  <w:marLeft w:val="0"/>
                  <w:marRight w:val="0"/>
                  <w:marTop w:val="0"/>
                  <w:marBottom w:val="0"/>
                  <w:divBdr>
                    <w:top w:val="none" w:sz="0" w:space="0" w:color="auto"/>
                    <w:left w:val="none" w:sz="0" w:space="0" w:color="auto"/>
                    <w:bottom w:val="none" w:sz="0" w:space="0" w:color="auto"/>
                    <w:right w:val="none" w:sz="0" w:space="0" w:color="auto"/>
                  </w:divBdr>
                  <w:divsChild>
                    <w:div w:id="13830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2020-02-15T08:56:00Z</dcterms:created>
  <dcterms:modified xsi:type="dcterms:W3CDTF">2020-04-13T10:36:00Z</dcterms:modified>
</cp:coreProperties>
</file>