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9674" w14:textId="77777777" w:rsidR="002D7006" w:rsidRPr="002D7006" w:rsidRDefault="002D7006" w:rsidP="002D7006">
      <w:pPr>
        <w:spacing w:before="450" w:after="375"/>
        <w:outlineLvl w:val="1"/>
        <w:rPr>
          <w:rFonts w:ascii="Helvetica" w:eastAsia="Times New Roman" w:hAnsi="Helvetica" w:cs="Times New Roman"/>
          <w:color w:val="133850"/>
          <w:sz w:val="30"/>
          <w:szCs w:val="30"/>
        </w:rPr>
      </w:pPr>
      <w:r w:rsidRPr="002D7006">
        <w:rPr>
          <w:rFonts w:ascii="Helvetica" w:eastAsia="Times New Roman" w:hAnsi="Helvetica" w:cs="Times New Roman"/>
          <w:color w:val="133850"/>
          <w:sz w:val="30"/>
          <w:szCs w:val="30"/>
        </w:rPr>
        <w:t xml:space="preserve">EBA publishes Opinion on the regulatory treatment of non-performing exposure </w:t>
      </w:r>
      <w:proofErr w:type="spellStart"/>
      <w:r w:rsidRPr="002D7006">
        <w:rPr>
          <w:rFonts w:ascii="Helvetica" w:eastAsia="Times New Roman" w:hAnsi="Helvetica" w:cs="Times New Roman"/>
          <w:color w:val="133850"/>
          <w:sz w:val="30"/>
          <w:szCs w:val="30"/>
        </w:rPr>
        <w:t>securitisations</w:t>
      </w:r>
      <w:proofErr w:type="spellEnd"/>
      <w:r w:rsidRPr="002D7006">
        <w:rPr>
          <w:rFonts w:ascii="Helvetica" w:eastAsia="Times New Roman" w:hAnsi="Helvetica" w:cs="Times New Roman"/>
          <w:color w:val="133850"/>
          <w:sz w:val="30"/>
          <w:szCs w:val="30"/>
        </w:rPr>
        <w:t> </w:t>
      </w:r>
    </w:p>
    <w:p w14:paraId="48D9BCFA" w14:textId="77777777" w:rsidR="002D7006" w:rsidRPr="002D7006" w:rsidRDefault="002D7006" w:rsidP="002D7006">
      <w:pPr>
        <w:spacing w:after="150"/>
        <w:rPr>
          <w:rFonts w:ascii="Helvetica" w:eastAsia="Times New Roman" w:hAnsi="Helvetica" w:cs="Times New Roman"/>
          <w:color w:val="8199A8"/>
          <w:sz w:val="20"/>
          <w:szCs w:val="20"/>
        </w:rPr>
      </w:pPr>
      <w:r w:rsidRPr="002D7006">
        <w:rPr>
          <w:rFonts w:ascii="Helvetica" w:eastAsia="Times New Roman" w:hAnsi="Helvetica" w:cs="Times New Roman"/>
          <w:color w:val="8199A8"/>
          <w:sz w:val="20"/>
          <w:szCs w:val="20"/>
        </w:rPr>
        <w:t>23 October 2019</w:t>
      </w:r>
    </w:p>
    <w:p w14:paraId="64339EAE" w14:textId="77777777" w:rsidR="002D7006" w:rsidRPr="002D7006" w:rsidRDefault="002D7006" w:rsidP="002D7006">
      <w:pPr>
        <w:spacing w:before="240" w:after="120"/>
        <w:jc w:val="both"/>
        <w:rPr>
          <w:rFonts w:ascii="Helvetica" w:eastAsia="Times New Roman" w:hAnsi="Helvetica" w:cs="Times New Roman"/>
          <w:color w:val="133850"/>
          <w:sz w:val="20"/>
          <w:szCs w:val="20"/>
        </w:rPr>
      </w:pPr>
      <w:r w:rsidRPr="002D7006">
        <w:rPr>
          <w:rFonts w:ascii="Calibri" w:eastAsia="Times New Roman" w:hAnsi="Calibri" w:cs="Calibri"/>
          <w:b/>
          <w:bCs/>
          <w:color w:val="133850"/>
          <w:sz w:val="22"/>
          <w:szCs w:val="22"/>
        </w:rPr>
        <w:t xml:space="preserve">The European Banking Authority (EBA) published today an Opinion on the regulatory treatment of </w:t>
      </w:r>
      <w:proofErr w:type="spellStart"/>
      <w:r w:rsidRPr="002D7006">
        <w:rPr>
          <w:rFonts w:ascii="Calibri" w:eastAsia="Times New Roman" w:hAnsi="Calibri" w:cs="Calibri"/>
          <w:b/>
          <w:bCs/>
          <w:color w:val="133850"/>
          <w:sz w:val="22"/>
          <w:szCs w:val="22"/>
        </w:rPr>
        <w:t>securitisations</w:t>
      </w:r>
      <w:proofErr w:type="spellEnd"/>
      <w:r w:rsidRPr="002D7006">
        <w:rPr>
          <w:rFonts w:ascii="Calibri" w:eastAsia="Times New Roman" w:hAnsi="Calibri" w:cs="Calibri"/>
          <w:b/>
          <w:bCs/>
          <w:color w:val="133850"/>
          <w:sz w:val="22"/>
          <w:szCs w:val="22"/>
        </w:rPr>
        <w:t xml:space="preserve"> of non-performing exposures (NPE). </w:t>
      </w:r>
      <w:proofErr w:type="spellStart"/>
      <w:r w:rsidRPr="00560F51">
        <w:rPr>
          <w:rFonts w:ascii="Calibri" w:eastAsia="Times New Roman" w:hAnsi="Calibri" w:cs="Calibri"/>
          <w:b/>
          <w:bCs/>
          <w:color w:val="133850"/>
          <w:sz w:val="22"/>
          <w:szCs w:val="22"/>
          <w:highlight w:val="lightGray"/>
        </w:rPr>
        <w:t>Securitisations</w:t>
      </w:r>
      <w:proofErr w:type="spellEnd"/>
      <w:r w:rsidRPr="00560F51">
        <w:rPr>
          <w:rFonts w:ascii="Calibri" w:eastAsia="Times New Roman" w:hAnsi="Calibri" w:cs="Calibri"/>
          <w:b/>
          <w:bCs/>
          <w:color w:val="133850"/>
          <w:sz w:val="22"/>
          <w:szCs w:val="22"/>
          <w:highlight w:val="lightGray"/>
        </w:rPr>
        <w:t xml:space="preserve"> can play an instrumental role in reducing NPE stocks in credit institutions’ balance sheets but such a role may be hindered by certain provisions in the EU law </w:t>
      </w:r>
      <w:proofErr w:type="spellStart"/>
      <w:r w:rsidRPr="00560F51">
        <w:rPr>
          <w:rFonts w:ascii="Calibri" w:eastAsia="Times New Roman" w:hAnsi="Calibri" w:cs="Calibri"/>
          <w:b/>
          <w:bCs/>
          <w:color w:val="133850"/>
          <w:sz w:val="22"/>
          <w:szCs w:val="22"/>
          <w:highlight w:val="lightGray"/>
        </w:rPr>
        <w:t>securitisation</w:t>
      </w:r>
      <w:proofErr w:type="spellEnd"/>
      <w:r w:rsidRPr="00560F51">
        <w:rPr>
          <w:rFonts w:ascii="Calibri" w:eastAsia="Times New Roman" w:hAnsi="Calibri" w:cs="Calibri"/>
          <w:b/>
          <w:bCs/>
          <w:color w:val="133850"/>
          <w:sz w:val="22"/>
          <w:szCs w:val="22"/>
          <w:highlight w:val="lightGray"/>
        </w:rPr>
        <w:t xml:space="preserve"> framework. This Opinion recommends various amendments to the Capital Requirements Regulation (CRR) as well as to the </w:t>
      </w:r>
      <w:proofErr w:type="spellStart"/>
      <w:r w:rsidRPr="00560F51">
        <w:rPr>
          <w:rFonts w:ascii="Calibri" w:eastAsia="Times New Roman" w:hAnsi="Calibri" w:cs="Calibri"/>
          <w:b/>
          <w:bCs/>
          <w:color w:val="133850"/>
          <w:sz w:val="22"/>
          <w:szCs w:val="22"/>
          <w:highlight w:val="lightGray"/>
        </w:rPr>
        <w:t>Securitisation</w:t>
      </w:r>
      <w:proofErr w:type="spellEnd"/>
      <w:r w:rsidRPr="00560F51">
        <w:rPr>
          <w:rFonts w:ascii="Calibri" w:eastAsia="Times New Roman" w:hAnsi="Calibri" w:cs="Calibri"/>
          <w:b/>
          <w:bCs/>
          <w:color w:val="133850"/>
          <w:sz w:val="22"/>
          <w:szCs w:val="22"/>
          <w:highlight w:val="lightGray"/>
        </w:rPr>
        <w:t xml:space="preserve"> Regulation to remove the identified constraints. The Opinion is addressed at the European Commission and contributes to the objectives of the Council of the EU’s “Action plan to tackle non-performing loans in Europe”.</w:t>
      </w:r>
      <w:r w:rsidRPr="002D7006">
        <w:rPr>
          <w:rFonts w:ascii="Calibri" w:eastAsia="Times New Roman" w:hAnsi="Calibri" w:cs="Calibri"/>
          <w:b/>
          <w:bCs/>
          <w:color w:val="133850"/>
          <w:sz w:val="22"/>
          <w:szCs w:val="22"/>
        </w:rPr>
        <w:t xml:space="preserve"> </w:t>
      </w:r>
      <w:r w:rsidRPr="00560F51">
        <w:rPr>
          <w:rFonts w:ascii="Calibri" w:eastAsia="Times New Roman" w:hAnsi="Calibri" w:cs="Calibri"/>
          <w:b/>
          <w:bCs/>
          <w:color w:val="133850"/>
          <w:sz w:val="22"/>
          <w:szCs w:val="22"/>
          <w:highlight w:val="yellow"/>
        </w:rPr>
        <w:t>A copy of the Opinion has been sent to the European Parliament and the Council.</w:t>
      </w:r>
    </w:p>
    <w:p w14:paraId="2B5B6D93" w14:textId="77777777" w:rsidR="002D7006" w:rsidRPr="002D7006" w:rsidRDefault="002D7006" w:rsidP="002D7006">
      <w:pPr>
        <w:spacing w:before="240" w:after="120"/>
        <w:jc w:val="both"/>
        <w:rPr>
          <w:rFonts w:ascii="Helvetica" w:eastAsia="Times New Roman" w:hAnsi="Helvetica" w:cs="Times New Roman"/>
          <w:color w:val="133850"/>
          <w:sz w:val="20"/>
          <w:szCs w:val="20"/>
        </w:rPr>
      </w:pPr>
      <w:r w:rsidRPr="00560F51">
        <w:rPr>
          <w:rFonts w:ascii="Calibri" w:eastAsia="Times New Roman" w:hAnsi="Calibri" w:cs="Calibri"/>
          <w:color w:val="133850"/>
          <w:sz w:val="22"/>
          <w:szCs w:val="22"/>
          <w:highlight w:val="darkGray"/>
        </w:rPr>
        <w:t xml:space="preserve">NPE </w:t>
      </w:r>
      <w:proofErr w:type="spellStart"/>
      <w:r w:rsidRPr="00560F51">
        <w:rPr>
          <w:rFonts w:ascii="Calibri" w:eastAsia="Times New Roman" w:hAnsi="Calibri" w:cs="Calibri"/>
          <w:color w:val="133850"/>
          <w:sz w:val="22"/>
          <w:szCs w:val="22"/>
          <w:highlight w:val="darkGray"/>
        </w:rPr>
        <w:t>securitisations</w:t>
      </w:r>
      <w:proofErr w:type="spellEnd"/>
      <w:r w:rsidRPr="00560F51">
        <w:rPr>
          <w:rFonts w:ascii="Calibri" w:eastAsia="Times New Roman" w:hAnsi="Calibri" w:cs="Calibri"/>
          <w:color w:val="133850"/>
          <w:sz w:val="22"/>
          <w:szCs w:val="22"/>
          <w:highlight w:val="darkGray"/>
        </w:rPr>
        <w:t xml:space="preserve"> are transactions backed by pools comprised exclusively or almost exclusively of NPE at the time of inception. Though structurally similar to other </w:t>
      </w:r>
      <w:proofErr w:type="spellStart"/>
      <w:r w:rsidRPr="00560F51">
        <w:rPr>
          <w:rFonts w:ascii="Calibri" w:eastAsia="Times New Roman" w:hAnsi="Calibri" w:cs="Calibri"/>
          <w:color w:val="133850"/>
          <w:sz w:val="22"/>
          <w:szCs w:val="22"/>
          <w:highlight w:val="darkGray"/>
        </w:rPr>
        <w:t>securitisations</w:t>
      </w:r>
      <w:proofErr w:type="spellEnd"/>
      <w:r w:rsidRPr="00560F51">
        <w:rPr>
          <w:rFonts w:ascii="Calibri" w:eastAsia="Times New Roman" w:hAnsi="Calibri" w:cs="Calibri"/>
          <w:color w:val="133850"/>
          <w:sz w:val="22"/>
          <w:szCs w:val="22"/>
          <w:highlight w:val="darkGray"/>
        </w:rPr>
        <w:t xml:space="preserve">, the underlying assets have distinctive features that set NPE </w:t>
      </w:r>
      <w:proofErr w:type="spellStart"/>
      <w:r w:rsidRPr="00560F51">
        <w:rPr>
          <w:rFonts w:ascii="Calibri" w:eastAsia="Times New Roman" w:hAnsi="Calibri" w:cs="Calibri"/>
          <w:color w:val="133850"/>
          <w:sz w:val="22"/>
          <w:szCs w:val="22"/>
          <w:highlight w:val="darkGray"/>
        </w:rPr>
        <w:t>securitisations</w:t>
      </w:r>
      <w:proofErr w:type="spellEnd"/>
      <w:r w:rsidRPr="00560F51">
        <w:rPr>
          <w:rFonts w:ascii="Calibri" w:eastAsia="Times New Roman" w:hAnsi="Calibri" w:cs="Calibri"/>
          <w:color w:val="133850"/>
          <w:sz w:val="22"/>
          <w:szCs w:val="22"/>
          <w:highlight w:val="darkGray"/>
        </w:rPr>
        <w:t xml:space="preserve"> apart from those from an economic substance perspective, namely due to the large discount on their nominal value and their specific underlying risks</w:t>
      </w:r>
      <w:r w:rsidRPr="002D7006">
        <w:rPr>
          <w:rFonts w:ascii="Calibri" w:eastAsia="Times New Roman" w:hAnsi="Calibri" w:cs="Calibri"/>
          <w:color w:val="133850"/>
          <w:sz w:val="22"/>
          <w:szCs w:val="22"/>
        </w:rPr>
        <w:t>.  </w:t>
      </w:r>
    </w:p>
    <w:p w14:paraId="6D877D9C" w14:textId="77777777" w:rsidR="002D7006" w:rsidRPr="00560F51" w:rsidRDefault="002D7006" w:rsidP="002D7006">
      <w:pPr>
        <w:spacing w:before="240" w:after="120"/>
        <w:jc w:val="both"/>
        <w:rPr>
          <w:rFonts w:ascii="Helvetica" w:eastAsia="Times New Roman" w:hAnsi="Helvetica" w:cs="Times New Roman"/>
          <w:color w:val="133850"/>
          <w:sz w:val="20"/>
          <w:szCs w:val="20"/>
          <w:highlight w:val="darkGray"/>
        </w:rPr>
      </w:pPr>
      <w:bookmarkStart w:id="0" w:name="_GoBack"/>
      <w:bookmarkEnd w:id="0"/>
      <w:r w:rsidRPr="00560F51">
        <w:rPr>
          <w:rFonts w:ascii="Calibri" w:eastAsia="Times New Roman" w:hAnsi="Calibri" w:cs="Calibri"/>
          <w:color w:val="133850"/>
          <w:sz w:val="22"/>
          <w:szCs w:val="22"/>
          <w:highlight w:val="darkGray"/>
        </w:rPr>
        <w:t xml:space="preserve">The Opinion explains that the regulatory framework imposes certain constraints on credit institutions using </w:t>
      </w:r>
      <w:proofErr w:type="spellStart"/>
      <w:r w:rsidRPr="00560F51">
        <w:rPr>
          <w:rFonts w:ascii="Calibri" w:eastAsia="Times New Roman" w:hAnsi="Calibri" w:cs="Calibri"/>
          <w:color w:val="133850"/>
          <w:sz w:val="22"/>
          <w:szCs w:val="22"/>
          <w:highlight w:val="darkGray"/>
        </w:rPr>
        <w:t>securitisation</w:t>
      </w:r>
      <w:proofErr w:type="spellEnd"/>
      <w:r w:rsidRPr="00560F51">
        <w:rPr>
          <w:rFonts w:ascii="Calibri" w:eastAsia="Times New Roman" w:hAnsi="Calibri" w:cs="Calibri"/>
          <w:color w:val="133850"/>
          <w:sz w:val="22"/>
          <w:szCs w:val="22"/>
          <w:highlight w:val="darkGray"/>
        </w:rPr>
        <w:t xml:space="preserve"> technology to dispose of NPE holdings, namely:</w:t>
      </w:r>
    </w:p>
    <w:p w14:paraId="01EAC861" w14:textId="77777777" w:rsidR="002D7006" w:rsidRPr="00560F51" w:rsidRDefault="002D7006" w:rsidP="002D7006">
      <w:pPr>
        <w:numPr>
          <w:ilvl w:val="0"/>
          <w:numId w:val="1"/>
        </w:numPr>
        <w:spacing w:before="240" w:after="120"/>
        <w:jc w:val="both"/>
        <w:rPr>
          <w:rFonts w:ascii="Helvetica" w:eastAsia="Times New Roman" w:hAnsi="Helvetica" w:cs="Times New Roman"/>
          <w:color w:val="133850"/>
          <w:sz w:val="20"/>
          <w:szCs w:val="20"/>
          <w:highlight w:val="darkGray"/>
        </w:rPr>
      </w:pPr>
      <w:r w:rsidRPr="00560F51">
        <w:rPr>
          <w:rFonts w:ascii="Calibri" w:eastAsia="Times New Roman" w:hAnsi="Calibri" w:cs="Calibri"/>
          <w:color w:val="133850"/>
          <w:sz w:val="22"/>
          <w:szCs w:val="22"/>
          <w:highlight w:val="darkGray"/>
        </w:rPr>
        <w:t xml:space="preserve">Very high capital requirements on investor credit institutions under the CRR: the pre-eminent </w:t>
      </w:r>
      <w:proofErr w:type="spellStart"/>
      <w:r w:rsidRPr="00560F51">
        <w:rPr>
          <w:rFonts w:ascii="Calibri" w:eastAsia="Times New Roman" w:hAnsi="Calibri" w:cs="Calibri"/>
          <w:color w:val="133850"/>
          <w:sz w:val="22"/>
          <w:szCs w:val="22"/>
          <w:highlight w:val="darkGray"/>
        </w:rPr>
        <w:t>securitisation</w:t>
      </w:r>
      <w:proofErr w:type="spellEnd"/>
      <w:r w:rsidRPr="00560F51">
        <w:rPr>
          <w:rFonts w:ascii="Calibri" w:eastAsia="Times New Roman" w:hAnsi="Calibri" w:cs="Calibri"/>
          <w:color w:val="133850"/>
          <w:sz w:val="22"/>
          <w:szCs w:val="22"/>
          <w:highlight w:val="darkGray"/>
        </w:rPr>
        <w:t xml:space="preserve"> capital methods (the SEC-IRBA and the SEC-SA) and the look-through approach lead to disproportionately high capital charges on NPE </w:t>
      </w:r>
      <w:proofErr w:type="spellStart"/>
      <w:r w:rsidRPr="00560F51">
        <w:rPr>
          <w:rFonts w:ascii="Calibri" w:eastAsia="Times New Roman" w:hAnsi="Calibri" w:cs="Calibri"/>
          <w:color w:val="133850"/>
          <w:sz w:val="22"/>
          <w:szCs w:val="22"/>
          <w:highlight w:val="darkGray"/>
        </w:rPr>
        <w:t>securitisation</w:t>
      </w:r>
      <w:proofErr w:type="spellEnd"/>
      <w:r w:rsidRPr="00560F51">
        <w:rPr>
          <w:rFonts w:ascii="Calibri" w:eastAsia="Times New Roman" w:hAnsi="Calibri" w:cs="Calibri"/>
          <w:color w:val="133850"/>
          <w:sz w:val="22"/>
          <w:szCs w:val="22"/>
          <w:highlight w:val="darkGray"/>
        </w:rPr>
        <w:t xml:space="preserve"> positions when compared to relevant benchmarks and, as a result, tend to overstate the actual risk embedded in the portfolio;</w:t>
      </w:r>
    </w:p>
    <w:p w14:paraId="2715EAB6" w14:textId="77777777" w:rsidR="002D7006" w:rsidRPr="00560F51" w:rsidRDefault="002D7006" w:rsidP="002D7006">
      <w:pPr>
        <w:numPr>
          <w:ilvl w:val="0"/>
          <w:numId w:val="1"/>
        </w:numPr>
        <w:spacing w:before="240" w:after="120"/>
        <w:jc w:val="both"/>
        <w:rPr>
          <w:rFonts w:ascii="Helvetica" w:eastAsia="Times New Roman" w:hAnsi="Helvetica" w:cs="Times New Roman"/>
          <w:color w:val="133850"/>
          <w:sz w:val="20"/>
          <w:szCs w:val="20"/>
          <w:highlight w:val="darkGray"/>
        </w:rPr>
      </w:pPr>
      <w:r w:rsidRPr="00560F51">
        <w:rPr>
          <w:rFonts w:ascii="Calibri" w:eastAsia="Times New Roman" w:hAnsi="Calibri" w:cs="Calibri"/>
          <w:color w:val="133850"/>
          <w:sz w:val="22"/>
          <w:szCs w:val="22"/>
          <w:highlight w:val="darkGray"/>
        </w:rPr>
        <w:t xml:space="preserve">Compliance challenges as regards certain risk retention and due diligence requirements under the </w:t>
      </w:r>
      <w:proofErr w:type="spellStart"/>
      <w:r w:rsidRPr="00560F51">
        <w:rPr>
          <w:rFonts w:ascii="Calibri" w:eastAsia="Times New Roman" w:hAnsi="Calibri" w:cs="Calibri"/>
          <w:color w:val="133850"/>
          <w:sz w:val="22"/>
          <w:szCs w:val="22"/>
          <w:highlight w:val="darkGray"/>
        </w:rPr>
        <w:t>Securitisation</w:t>
      </w:r>
      <w:proofErr w:type="spellEnd"/>
      <w:r w:rsidRPr="00560F51">
        <w:rPr>
          <w:rFonts w:ascii="Calibri" w:eastAsia="Times New Roman" w:hAnsi="Calibri" w:cs="Calibri"/>
          <w:color w:val="133850"/>
          <w:sz w:val="22"/>
          <w:szCs w:val="22"/>
          <w:highlight w:val="darkGray"/>
        </w:rPr>
        <w:t xml:space="preserve"> Regulation. </w:t>
      </w:r>
    </w:p>
    <w:p w14:paraId="0EDA07D0" w14:textId="77777777" w:rsidR="002D7006" w:rsidRPr="002D7006" w:rsidRDefault="002D7006" w:rsidP="002D7006">
      <w:pPr>
        <w:spacing w:before="240" w:after="120"/>
        <w:jc w:val="both"/>
        <w:rPr>
          <w:rFonts w:ascii="Helvetica" w:eastAsia="Times New Roman" w:hAnsi="Helvetica" w:cs="Times New Roman"/>
          <w:color w:val="133850"/>
          <w:sz w:val="20"/>
          <w:szCs w:val="20"/>
        </w:rPr>
      </w:pPr>
      <w:r w:rsidRPr="00560F51">
        <w:rPr>
          <w:rFonts w:ascii="Calibri" w:eastAsia="Times New Roman" w:hAnsi="Calibri" w:cs="Calibri"/>
          <w:color w:val="133850"/>
          <w:sz w:val="22"/>
          <w:szCs w:val="22"/>
          <w:highlight w:val="lightGray"/>
        </w:rPr>
        <w:t xml:space="preserve">The Opinion recommends that the Commission consider a number of targeted amendments to the CRR and the </w:t>
      </w:r>
      <w:proofErr w:type="spellStart"/>
      <w:r w:rsidRPr="00560F51">
        <w:rPr>
          <w:rFonts w:ascii="Calibri" w:eastAsia="Times New Roman" w:hAnsi="Calibri" w:cs="Calibri"/>
          <w:color w:val="133850"/>
          <w:sz w:val="22"/>
          <w:szCs w:val="22"/>
          <w:highlight w:val="lightGray"/>
        </w:rPr>
        <w:t>Securitisation</w:t>
      </w:r>
      <w:proofErr w:type="spellEnd"/>
      <w:r w:rsidRPr="00560F51">
        <w:rPr>
          <w:rFonts w:ascii="Calibri" w:eastAsia="Times New Roman" w:hAnsi="Calibri" w:cs="Calibri"/>
          <w:color w:val="133850"/>
          <w:sz w:val="22"/>
          <w:szCs w:val="22"/>
          <w:highlight w:val="lightGray"/>
        </w:rPr>
        <w:t xml:space="preserve"> Regulation to remove these constraints whilst maintaining the integrity of the prudential framework. The recommendations should be viewed as preliminary and subject to additional analytical work, namely the amendments to the CRR that may require limited calibration. Furthermore, the potential amendments to the CRR should be, to the extent possible, consistent with comparable international standards.</w:t>
      </w:r>
      <w:r w:rsidRPr="002D7006">
        <w:rPr>
          <w:rFonts w:ascii="Calibri" w:eastAsia="Times New Roman" w:hAnsi="Calibri" w:cs="Calibri"/>
          <w:color w:val="133850"/>
          <w:sz w:val="22"/>
          <w:szCs w:val="22"/>
        </w:rPr>
        <w:t>   </w:t>
      </w:r>
    </w:p>
    <w:p w14:paraId="5D6A69D0" w14:textId="77777777" w:rsidR="002D7006" w:rsidRPr="00560F51" w:rsidRDefault="002D7006" w:rsidP="002D7006">
      <w:pPr>
        <w:jc w:val="both"/>
        <w:rPr>
          <w:rFonts w:ascii="Helvetica" w:eastAsia="Times New Roman" w:hAnsi="Helvetica" w:cs="Times New Roman"/>
          <w:color w:val="133850"/>
          <w:sz w:val="20"/>
          <w:szCs w:val="20"/>
          <w:highlight w:val="yellow"/>
        </w:rPr>
      </w:pPr>
      <w:r w:rsidRPr="00560F51">
        <w:rPr>
          <w:rFonts w:ascii="Calibri" w:eastAsia="Times New Roman" w:hAnsi="Calibri" w:cs="Calibri"/>
          <w:b/>
          <w:bCs/>
          <w:color w:val="133850"/>
          <w:sz w:val="22"/>
          <w:szCs w:val="22"/>
          <w:highlight w:val="yellow"/>
        </w:rPr>
        <w:t>Legal basis</w:t>
      </w:r>
    </w:p>
    <w:p w14:paraId="566A33B1" w14:textId="77777777" w:rsidR="002D7006" w:rsidRPr="002D7006" w:rsidRDefault="002D7006" w:rsidP="002D7006">
      <w:pPr>
        <w:jc w:val="both"/>
        <w:rPr>
          <w:rFonts w:ascii="Helvetica" w:eastAsia="Times New Roman" w:hAnsi="Helvetica" w:cs="Times New Roman"/>
          <w:color w:val="133850"/>
          <w:sz w:val="20"/>
          <w:szCs w:val="20"/>
        </w:rPr>
      </w:pPr>
      <w:r w:rsidRPr="00560F51">
        <w:rPr>
          <w:rFonts w:ascii="Calibri" w:eastAsia="Times New Roman" w:hAnsi="Calibri" w:cs="Calibri"/>
          <w:color w:val="133850"/>
          <w:sz w:val="22"/>
          <w:szCs w:val="22"/>
          <w:highlight w:val="yellow"/>
        </w:rPr>
        <w:t xml:space="preserve">The Opinion has been drafted in accordance with Article 34(1) of Regulation (EU) No 1093/2010, by virtue of which the Authority may, on its own initiative, provide opinions to the European Parliament, the Council and the Commission on all issues related to its area of competence. The regulatory treatment of NPE </w:t>
      </w:r>
      <w:proofErr w:type="spellStart"/>
      <w:r w:rsidRPr="00560F51">
        <w:rPr>
          <w:rFonts w:ascii="Calibri" w:eastAsia="Times New Roman" w:hAnsi="Calibri" w:cs="Calibri"/>
          <w:color w:val="133850"/>
          <w:sz w:val="22"/>
          <w:szCs w:val="22"/>
          <w:highlight w:val="yellow"/>
        </w:rPr>
        <w:t>securitisations</w:t>
      </w:r>
      <w:proofErr w:type="spellEnd"/>
      <w:r w:rsidRPr="00560F51">
        <w:rPr>
          <w:rFonts w:ascii="Calibri" w:eastAsia="Times New Roman" w:hAnsi="Calibri" w:cs="Calibri"/>
          <w:color w:val="133850"/>
          <w:sz w:val="22"/>
          <w:szCs w:val="22"/>
          <w:highlight w:val="yellow"/>
        </w:rPr>
        <w:t xml:space="preserve"> falls within the remint of the EBA’s areas of competence.</w:t>
      </w:r>
      <w:r w:rsidRPr="002D7006">
        <w:rPr>
          <w:rFonts w:ascii="Calibri" w:eastAsia="Times New Roman" w:hAnsi="Calibri" w:cs="Calibri"/>
          <w:color w:val="133850"/>
          <w:sz w:val="22"/>
          <w:szCs w:val="22"/>
        </w:rPr>
        <w:t> </w:t>
      </w:r>
    </w:p>
    <w:p w14:paraId="434DF30E" w14:textId="77777777" w:rsidR="002D7006" w:rsidRPr="002D7006" w:rsidRDefault="002D7006" w:rsidP="002D7006">
      <w:pPr>
        <w:jc w:val="both"/>
        <w:rPr>
          <w:rFonts w:ascii="Helvetica" w:eastAsia="Times New Roman" w:hAnsi="Helvetica" w:cs="Times New Roman"/>
          <w:color w:val="133850"/>
          <w:sz w:val="20"/>
          <w:szCs w:val="20"/>
        </w:rPr>
      </w:pPr>
      <w:r w:rsidRPr="002D7006">
        <w:rPr>
          <w:rFonts w:ascii="Helvetica" w:eastAsia="Times New Roman" w:hAnsi="Helvetica" w:cs="Times New Roman"/>
          <w:color w:val="133850"/>
          <w:sz w:val="20"/>
          <w:szCs w:val="20"/>
        </w:rPr>
        <w:t> </w:t>
      </w:r>
    </w:p>
    <w:p w14:paraId="18108AA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112B0"/>
    <w:multiLevelType w:val="multilevel"/>
    <w:tmpl w:val="2DE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DD"/>
    <w:rsid w:val="002D7006"/>
    <w:rsid w:val="00453EED"/>
    <w:rsid w:val="00560F51"/>
    <w:rsid w:val="00B261D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C0DCE"/>
  <w14:defaultImageDpi w14:val="32767"/>
  <w15:chartTrackingRefBased/>
  <w15:docId w15:val="{58B16685-372C-BE4B-BAED-4602CB2A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D700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00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D7006"/>
  </w:style>
  <w:style w:type="paragraph" w:customStyle="1" w:styleId="secondaryinfo">
    <w:name w:val="secondaryinfo"/>
    <w:basedOn w:val="Normal"/>
    <w:rsid w:val="002D7006"/>
    <w:pPr>
      <w:spacing w:before="100" w:beforeAutospacing="1" w:after="100" w:afterAutospacing="1"/>
    </w:pPr>
    <w:rPr>
      <w:rFonts w:ascii="Times New Roman" w:eastAsia="Times New Roman" w:hAnsi="Times New Roman" w:cs="Times New Roman"/>
    </w:rPr>
  </w:style>
  <w:style w:type="paragraph" w:customStyle="1" w:styleId="body">
    <w:name w:val="body"/>
    <w:basedOn w:val="Normal"/>
    <w:rsid w:val="002D700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D70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78209">
      <w:bodyDiv w:val="1"/>
      <w:marLeft w:val="0"/>
      <w:marRight w:val="0"/>
      <w:marTop w:val="0"/>
      <w:marBottom w:val="0"/>
      <w:divBdr>
        <w:top w:val="none" w:sz="0" w:space="0" w:color="auto"/>
        <w:left w:val="none" w:sz="0" w:space="0" w:color="auto"/>
        <w:bottom w:val="none" w:sz="0" w:space="0" w:color="auto"/>
        <w:right w:val="none" w:sz="0" w:space="0" w:color="auto"/>
      </w:divBdr>
      <w:divsChild>
        <w:div w:id="1902523601">
          <w:marLeft w:val="0"/>
          <w:marRight w:val="0"/>
          <w:marTop w:val="0"/>
          <w:marBottom w:val="0"/>
          <w:divBdr>
            <w:top w:val="none" w:sz="0" w:space="0" w:color="auto"/>
            <w:left w:val="none" w:sz="0" w:space="0" w:color="auto"/>
            <w:bottom w:val="none" w:sz="0" w:space="0" w:color="auto"/>
            <w:right w:val="none" w:sz="0" w:space="0" w:color="auto"/>
          </w:divBdr>
          <w:divsChild>
            <w:div w:id="1272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2020-02-15T08:56:00Z</dcterms:created>
  <dcterms:modified xsi:type="dcterms:W3CDTF">2020-04-13T10:40:00Z</dcterms:modified>
</cp:coreProperties>
</file>