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18A26" w14:textId="77777777" w:rsidR="00777538" w:rsidRPr="00777538" w:rsidRDefault="00777538" w:rsidP="00777538">
      <w:pPr>
        <w:spacing w:before="450" w:after="375"/>
        <w:outlineLvl w:val="1"/>
        <w:rPr>
          <w:rFonts w:ascii="Helvetica" w:eastAsia="Times New Roman" w:hAnsi="Helvetica" w:cs="Times New Roman"/>
          <w:color w:val="133850"/>
          <w:sz w:val="30"/>
          <w:szCs w:val="30"/>
        </w:rPr>
      </w:pPr>
      <w:r w:rsidRPr="00777538">
        <w:rPr>
          <w:rFonts w:ascii="Helvetica" w:eastAsia="Times New Roman" w:hAnsi="Helvetica" w:cs="Times New Roman"/>
          <w:color w:val="133850"/>
          <w:sz w:val="30"/>
          <w:szCs w:val="30"/>
        </w:rPr>
        <w:t>EBA publishes Opinion on the deadline and process for completing the migration to strong customer authentication (SCA) for e-commerce card-based payment transactions </w:t>
      </w:r>
    </w:p>
    <w:p w14:paraId="661DBF7A" w14:textId="77777777" w:rsidR="00777538" w:rsidRPr="00777538" w:rsidRDefault="00777538" w:rsidP="00777538">
      <w:pPr>
        <w:spacing w:after="150"/>
        <w:rPr>
          <w:rFonts w:ascii="Helvetica" w:eastAsia="Times New Roman" w:hAnsi="Helvetica" w:cs="Times New Roman"/>
          <w:color w:val="8199A8"/>
          <w:sz w:val="20"/>
          <w:szCs w:val="20"/>
        </w:rPr>
      </w:pPr>
      <w:r w:rsidRPr="00777538">
        <w:rPr>
          <w:rFonts w:ascii="Helvetica" w:eastAsia="Times New Roman" w:hAnsi="Helvetica" w:cs="Times New Roman"/>
          <w:color w:val="8199A8"/>
          <w:sz w:val="20"/>
          <w:szCs w:val="20"/>
        </w:rPr>
        <w:t>16 October 2019</w:t>
      </w:r>
    </w:p>
    <w:p w14:paraId="1E4785D6" w14:textId="77777777" w:rsidR="00777538" w:rsidRPr="00777538" w:rsidRDefault="00777538" w:rsidP="00777538">
      <w:pPr>
        <w:spacing w:after="150"/>
        <w:rPr>
          <w:rFonts w:ascii="Helvetica" w:eastAsia="Times New Roman" w:hAnsi="Helvetica" w:cs="Times New Roman"/>
          <w:color w:val="133850"/>
          <w:sz w:val="20"/>
          <w:szCs w:val="20"/>
        </w:rPr>
      </w:pPr>
      <w:r w:rsidRPr="00285DBD">
        <w:rPr>
          <w:rFonts w:ascii="Helvetica" w:eastAsia="Times New Roman" w:hAnsi="Helvetica" w:cs="Times New Roman"/>
          <w:b/>
          <w:bCs/>
          <w:color w:val="133850"/>
          <w:sz w:val="20"/>
          <w:szCs w:val="20"/>
          <w:highlight w:val="lightGray"/>
        </w:rPr>
        <w:t>The European Banking Authority (EBA) published today an Opinion on the deadline for the migration to SCA under the revised Payment Services Directive (PSD2) for e-commerce card-based payment transactions. The Opinion sets the deadline to 31 December 2020 and prescribes the expected actions to be taken during the migration period.</w:t>
      </w:r>
    </w:p>
    <w:p w14:paraId="38E62667" w14:textId="77777777" w:rsidR="00777538" w:rsidRPr="00285DBD" w:rsidRDefault="00777538" w:rsidP="00777538">
      <w:pPr>
        <w:spacing w:after="150"/>
        <w:rPr>
          <w:rFonts w:ascii="Helvetica" w:eastAsia="Times New Roman" w:hAnsi="Helvetica" w:cs="Times New Roman"/>
          <w:color w:val="133850"/>
          <w:sz w:val="20"/>
          <w:szCs w:val="20"/>
          <w:highlight w:val="lightGray"/>
        </w:rPr>
      </w:pPr>
      <w:r w:rsidRPr="00285DBD">
        <w:rPr>
          <w:rFonts w:ascii="Helvetica" w:eastAsia="Times New Roman" w:hAnsi="Helvetica" w:cs="Times New Roman"/>
          <w:color w:val="133850"/>
          <w:sz w:val="20"/>
          <w:szCs w:val="20"/>
          <w:highlight w:val="lightGray"/>
        </w:rPr>
        <w:t>Today's Opinion also recommends national competent authorities (NCAs) to take a consistent approach toward the SCA migration period across the EU and to require their respective payment service providers (PSPs) to carry out the actions set out in the Opinion.</w:t>
      </w:r>
    </w:p>
    <w:p w14:paraId="705C1814" w14:textId="77777777" w:rsidR="00777538" w:rsidRPr="00777538" w:rsidRDefault="00777538" w:rsidP="00777538">
      <w:pPr>
        <w:spacing w:after="150"/>
        <w:rPr>
          <w:rFonts w:ascii="Helvetica" w:eastAsia="Times New Roman" w:hAnsi="Helvetica" w:cs="Times New Roman"/>
          <w:color w:val="133850"/>
          <w:sz w:val="20"/>
          <w:szCs w:val="20"/>
        </w:rPr>
      </w:pPr>
      <w:r w:rsidRPr="00285DBD">
        <w:rPr>
          <w:rFonts w:ascii="Helvetica" w:eastAsia="Times New Roman" w:hAnsi="Helvetica" w:cs="Times New Roman"/>
          <w:color w:val="133850"/>
          <w:sz w:val="20"/>
          <w:szCs w:val="20"/>
          <w:highlight w:val="lightGray"/>
        </w:rPr>
        <w:t>In addition, the Opinion recommends that, where required, NCAs communicate to PSPs in their jurisdiction that the supervisory flexibility they have exercised does not represent a delay in the application date of the SCA requirements in PSD2 and the EBA's Technical Standards. Rather, it means that NCAs will focus on monitoring migration plans instead of pursuing immediate enforcement actions against PSPs that are not compliant with the SCA requirements.</w:t>
      </w:r>
    </w:p>
    <w:p w14:paraId="1814AF3B" w14:textId="77777777" w:rsidR="00777538" w:rsidRPr="00777538" w:rsidRDefault="00777538" w:rsidP="00777538">
      <w:pPr>
        <w:spacing w:after="150"/>
        <w:rPr>
          <w:rFonts w:ascii="Helvetica" w:eastAsia="Times New Roman" w:hAnsi="Helvetica" w:cs="Times New Roman"/>
          <w:color w:val="133850"/>
          <w:sz w:val="20"/>
          <w:szCs w:val="20"/>
        </w:rPr>
      </w:pPr>
      <w:r w:rsidRPr="00285DBD">
        <w:rPr>
          <w:rFonts w:ascii="Helvetica" w:eastAsia="Times New Roman" w:hAnsi="Helvetica" w:cs="Times New Roman"/>
          <w:color w:val="133850"/>
          <w:sz w:val="20"/>
          <w:szCs w:val="20"/>
          <w:highlight w:val="lightGray"/>
        </w:rPr>
        <w:t>Furthermore, the EBA notes that consumers will be protected against fraud as required by the law and NCAs should, therefore, communicate</w:t>
      </w:r>
      <w:r w:rsidRPr="00777538">
        <w:rPr>
          <w:rFonts w:ascii="Helvetica" w:eastAsia="Times New Roman" w:hAnsi="Helvetica" w:cs="Times New Roman"/>
          <w:color w:val="133850"/>
          <w:sz w:val="20"/>
          <w:szCs w:val="20"/>
        </w:rPr>
        <w:t xml:space="preserve"> </w:t>
      </w:r>
      <w:r w:rsidRPr="00285DBD">
        <w:rPr>
          <w:rFonts w:ascii="Helvetica" w:eastAsia="Times New Roman" w:hAnsi="Helvetica" w:cs="Times New Roman"/>
          <w:color w:val="133850"/>
          <w:sz w:val="20"/>
          <w:szCs w:val="20"/>
          <w:highlight w:val="yellow"/>
        </w:rPr>
        <w:t xml:space="preserve">to their PSPs that the liability regime under Article 74 of the PSD2 applies and that issuing and acquiring PSPs are still liable for </w:t>
      </w:r>
      <w:proofErr w:type="spellStart"/>
      <w:r w:rsidRPr="00285DBD">
        <w:rPr>
          <w:rFonts w:ascii="Helvetica" w:eastAsia="Times New Roman" w:hAnsi="Helvetica" w:cs="Times New Roman"/>
          <w:color w:val="133850"/>
          <w:sz w:val="20"/>
          <w:szCs w:val="20"/>
          <w:highlight w:val="yellow"/>
        </w:rPr>
        <w:t>unauthorised</w:t>
      </w:r>
      <w:proofErr w:type="spellEnd"/>
      <w:r w:rsidRPr="00285DBD">
        <w:rPr>
          <w:rFonts w:ascii="Helvetica" w:eastAsia="Times New Roman" w:hAnsi="Helvetica" w:cs="Times New Roman"/>
          <w:color w:val="133850"/>
          <w:sz w:val="20"/>
          <w:szCs w:val="20"/>
          <w:highlight w:val="yellow"/>
        </w:rPr>
        <w:t xml:space="preserve"> payment transactions.</w:t>
      </w:r>
    </w:p>
    <w:p w14:paraId="6C931690" w14:textId="77777777" w:rsidR="00777538" w:rsidRPr="00777538" w:rsidRDefault="00777538" w:rsidP="00777538">
      <w:pPr>
        <w:spacing w:before="450" w:after="150"/>
        <w:outlineLvl w:val="2"/>
        <w:rPr>
          <w:rFonts w:ascii="inherit" w:eastAsia="Times New Roman" w:hAnsi="inherit" w:cs="Times New Roman"/>
          <w:color w:val="E18A34"/>
          <w:sz w:val="26"/>
          <w:szCs w:val="26"/>
        </w:rPr>
      </w:pPr>
      <w:r w:rsidRPr="00777538">
        <w:rPr>
          <w:rFonts w:ascii="inherit" w:eastAsia="Times New Roman" w:hAnsi="inherit" w:cs="Times New Roman"/>
          <w:b/>
          <w:bCs/>
          <w:color w:val="E18A34"/>
          <w:sz w:val="26"/>
          <w:szCs w:val="26"/>
        </w:rPr>
        <w:t>Background</w:t>
      </w:r>
    </w:p>
    <w:p w14:paraId="61D591FD" w14:textId="77777777" w:rsidR="00777538" w:rsidRPr="00777538" w:rsidRDefault="00777538" w:rsidP="00777538">
      <w:pPr>
        <w:spacing w:after="150"/>
        <w:rPr>
          <w:rFonts w:ascii="Helvetica" w:eastAsia="Times New Roman" w:hAnsi="Helvetica" w:cs="Times New Roman"/>
          <w:color w:val="133850"/>
          <w:sz w:val="20"/>
          <w:szCs w:val="20"/>
        </w:rPr>
      </w:pPr>
      <w:r w:rsidRPr="00285DBD">
        <w:rPr>
          <w:rFonts w:ascii="Helvetica" w:eastAsia="Times New Roman" w:hAnsi="Helvetica" w:cs="Times New Roman"/>
          <w:color w:val="133850"/>
          <w:sz w:val="20"/>
          <w:szCs w:val="20"/>
          <w:highlight w:val="yellow"/>
        </w:rPr>
        <w:t>Today's Opinion is a follow-up to the Opinion on the elements of strong customer authentication under PSD2 (EBA-Op-2019-06) that the EBA published in June 2019.</w:t>
      </w:r>
      <w:r w:rsidRPr="00777538">
        <w:rPr>
          <w:rFonts w:ascii="Helvetica" w:eastAsia="Times New Roman" w:hAnsi="Helvetica" w:cs="Times New Roman"/>
          <w:color w:val="133850"/>
          <w:sz w:val="20"/>
          <w:szCs w:val="20"/>
        </w:rPr>
        <w:t xml:space="preserve"> At the time, the EBA acknowledged the complexity of the </w:t>
      </w:r>
      <w:proofErr w:type="gramStart"/>
      <w:r w:rsidRPr="00777538">
        <w:rPr>
          <w:rFonts w:ascii="Helvetica" w:eastAsia="Times New Roman" w:hAnsi="Helvetica" w:cs="Times New Roman"/>
          <w:color w:val="133850"/>
          <w:sz w:val="20"/>
          <w:szCs w:val="20"/>
        </w:rPr>
        <w:t>payments</w:t>
      </w:r>
      <w:proofErr w:type="gramEnd"/>
      <w:r w:rsidRPr="00777538">
        <w:rPr>
          <w:rFonts w:ascii="Helvetica" w:eastAsia="Times New Roman" w:hAnsi="Helvetica" w:cs="Times New Roman"/>
          <w:color w:val="133850"/>
          <w:sz w:val="20"/>
          <w:szCs w:val="20"/>
        </w:rPr>
        <w:t xml:space="preserve"> markets across the EU and the challenges that arise from the changes that are required, in particular for some actors in the payment chain th</w:t>
      </w:r>
      <w:bookmarkStart w:id="0" w:name="_GoBack"/>
      <w:bookmarkEnd w:id="0"/>
      <w:r w:rsidRPr="00777538">
        <w:rPr>
          <w:rFonts w:ascii="Helvetica" w:eastAsia="Times New Roman" w:hAnsi="Helvetica" w:cs="Times New Roman"/>
          <w:color w:val="133850"/>
          <w:sz w:val="20"/>
          <w:szCs w:val="20"/>
        </w:rPr>
        <w:t xml:space="preserve">at are not PSPs who may not be ready by 14 September 2019.  </w:t>
      </w:r>
      <w:r w:rsidRPr="00285DBD">
        <w:rPr>
          <w:rFonts w:ascii="Helvetica" w:eastAsia="Times New Roman" w:hAnsi="Helvetica" w:cs="Times New Roman"/>
          <w:color w:val="133850"/>
          <w:sz w:val="20"/>
          <w:szCs w:val="20"/>
          <w:highlight w:val="lightGray"/>
        </w:rPr>
        <w:t>Against this backdrop, the EBA accepted that, on an exceptional basis and in order to avoid unintended negative consequences for some payment service users after 14 September 2019, NCAs may decide to work with PSPs and relevant stakeholders, including consumers and merchants, to provide limited additional time.</w:t>
      </w:r>
    </w:p>
    <w:p w14:paraId="594E8487" w14:textId="77777777" w:rsidR="00777538" w:rsidRPr="00777538" w:rsidRDefault="00777538" w:rsidP="00777538">
      <w:pPr>
        <w:spacing w:after="150"/>
        <w:rPr>
          <w:rFonts w:ascii="Helvetica" w:eastAsia="Times New Roman" w:hAnsi="Helvetica" w:cs="Times New Roman"/>
          <w:color w:val="133850"/>
          <w:sz w:val="20"/>
          <w:szCs w:val="20"/>
        </w:rPr>
      </w:pPr>
      <w:r w:rsidRPr="00285DBD">
        <w:rPr>
          <w:rFonts w:ascii="Helvetica" w:eastAsia="Times New Roman" w:hAnsi="Helvetica" w:cs="Times New Roman"/>
          <w:color w:val="133850"/>
          <w:sz w:val="20"/>
          <w:szCs w:val="20"/>
          <w:highlight w:val="yellow"/>
        </w:rPr>
        <w:t xml:space="preserve">When publishing the Opinion in June, the EBA announced that, in order to fulfil the objectives of PSD2 and the EBA of achieving consistency across the EU, </w:t>
      </w:r>
      <w:proofErr w:type="gramStart"/>
      <w:r w:rsidRPr="00285DBD">
        <w:rPr>
          <w:rFonts w:ascii="Helvetica" w:eastAsia="Times New Roman" w:hAnsi="Helvetica" w:cs="Times New Roman"/>
          <w:color w:val="133850"/>
          <w:sz w:val="20"/>
          <w:szCs w:val="20"/>
          <w:highlight w:val="yellow"/>
        </w:rPr>
        <w:t>it  would</w:t>
      </w:r>
      <w:proofErr w:type="gramEnd"/>
      <w:r w:rsidRPr="00285DBD">
        <w:rPr>
          <w:rFonts w:ascii="Helvetica" w:eastAsia="Times New Roman" w:hAnsi="Helvetica" w:cs="Times New Roman"/>
          <w:color w:val="133850"/>
          <w:sz w:val="20"/>
          <w:szCs w:val="20"/>
          <w:highlight w:val="yellow"/>
        </w:rPr>
        <w:t xml:space="preserve"> communicate later in 2019 the deadlines for the completion of the SCA migration plans, which today's Opinion provides.</w:t>
      </w:r>
    </w:p>
    <w:p w14:paraId="343F2548" w14:textId="77777777" w:rsidR="00777538" w:rsidRPr="00285DBD" w:rsidRDefault="00777538" w:rsidP="00777538">
      <w:pPr>
        <w:spacing w:before="450" w:after="150"/>
        <w:outlineLvl w:val="2"/>
        <w:rPr>
          <w:rFonts w:ascii="inherit" w:eastAsia="Times New Roman" w:hAnsi="inherit" w:cs="Times New Roman"/>
          <w:color w:val="E18A34"/>
          <w:sz w:val="26"/>
          <w:szCs w:val="26"/>
          <w:highlight w:val="yellow"/>
        </w:rPr>
      </w:pPr>
      <w:r w:rsidRPr="00285DBD">
        <w:rPr>
          <w:rFonts w:ascii="inherit" w:eastAsia="Times New Roman" w:hAnsi="inherit" w:cs="Times New Roman"/>
          <w:b/>
          <w:bCs/>
          <w:color w:val="E18A34"/>
          <w:sz w:val="26"/>
          <w:szCs w:val="26"/>
          <w:highlight w:val="yellow"/>
        </w:rPr>
        <w:t>Legal basis</w:t>
      </w:r>
    </w:p>
    <w:p w14:paraId="758606C2" w14:textId="77777777" w:rsidR="00777538" w:rsidRPr="00777538" w:rsidRDefault="00777538" w:rsidP="00777538">
      <w:pPr>
        <w:rPr>
          <w:rFonts w:ascii="Helvetica" w:eastAsia="Times New Roman" w:hAnsi="Helvetica" w:cs="Times New Roman"/>
          <w:color w:val="133850"/>
          <w:sz w:val="20"/>
          <w:szCs w:val="20"/>
        </w:rPr>
      </w:pPr>
      <w:r w:rsidRPr="00285DBD">
        <w:rPr>
          <w:rFonts w:ascii="Helvetica" w:eastAsia="Times New Roman" w:hAnsi="Helvetica" w:cs="Times New Roman"/>
          <w:color w:val="133850"/>
          <w:sz w:val="20"/>
          <w:szCs w:val="20"/>
          <w:highlight w:val="yellow"/>
        </w:rPr>
        <w:t>The EBA issued the Opinion in accordance with Article 29(1)(a) of its Founding Regulation, which mandates the Authority to play an active role in building a common Union supervisory culture and consistent supervisory practices, as well as in ensuring uniform procedures and consistent approaches throughout the Union.</w:t>
      </w:r>
    </w:p>
    <w:p w14:paraId="63665311"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3FC"/>
    <w:rsid w:val="00285DBD"/>
    <w:rsid w:val="00453EED"/>
    <w:rsid w:val="00777538"/>
    <w:rsid w:val="00BE080D"/>
    <w:rsid w:val="00BF7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9296AD"/>
  <w14:defaultImageDpi w14:val="32767"/>
  <w15:chartTrackingRefBased/>
  <w15:docId w15:val="{354AE957-E6B5-B84F-9E5B-4A10EAC8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7753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753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5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753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77538"/>
  </w:style>
  <w:style w:type="paragraph" w:customStyle="1" w:styleId="secondaryinfo">
    <w:name w:val="secondaryinfo"/>
    <w:basedOn w:val="Normal"/>
    <w:rsid w:val="00777538"/>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77753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775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453123">
      <w:bodyDiv w:val="1"/>
      <w:marLeft w:val="0"/>
      <w:marRight w:val="0"/>
      <w:marTop w:val="0"/>
      <w:marBottom w:val="0"/>
      <w:divBdr>
        <w:top w:val="none" w:sz="0" w:space="0" w:color="auto"/>
        <w:left w:val="none" w:sz="0" w:space="0" w:color="auto"/>
        <w:bottom w:val="none" w:sz="0" w:space="0" w:color="auto"/>
        <w:right w:val="none" w:sz="0" w:space="0" w:color="auto"/>
      </w:divBdr>
      <w:divsChild>
        <w:div w:id="1583568454">
          <w:marLeft w:val="0"/>
          <w:marRight w:val="0"/>
          <w:marTop w:val="0"/>
          <w:marBottom w:val="0"/>
          <w:divBdr>
            <w:top w:val="none" w:sz="0" w:space="0" w:color="auto"/>
            <w:left w:val="none" w:sz="0" w:space="0" w:color="auto"/>
            <w:bottom w:val="none" w:sz="0" w:space="0" w:color="auto"/>
            <w:right w:val="none" w:sz="0" w:space="0" w:color="auto"/>
          </w:divBdr>
          <w:divsChild>
            <w:div w:id="40607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2020-02-15T08:56:00Z</dcterms:created>
  <dcterms:modified xsi:type="dcterms:W3CDTF">2020-04-13T10:42:00Z</dcterms:modified>
</cp:coreProperties>
</file>