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E4EB" w14:textId="77777777" w:rsidR="00AD2772" w:rsidRPr="00AD2772" w:rsidRDefault="00AD2772" w:rsidP="00AD2772">
      <w:pPr>
        <w:spacing w:before="450" w:after="375"/>
        <w:outlineLvl w:val="1"/>
        <w:rPr>
          <w:rFonts w:ascii="Helvetica" w:eastAsia="Times New Roman" w:hAnsi="Helvetica" w:cs="Times New Roman"/>
          <w:color w:val="133850"/>
          <w:sz w:val="30"/>
          <w:szCs w:val="30"/>
        </w:rPr>
      </w:pPr>
      <w:r w:rsidRPr="00AD2772">
        <w:rPr>
          <w:rFonts w:ascii="Helvetica" w:eastAsia="Times New Roman" w:hAnsi="Helvetica" w:cs="Times New Roman"/>
          <w:color w:val="133850"/>
          <w:sz w:val="30"/>
          <w:szCs w:val="30"/>
        </w:rPr>
        <w:t>ESAs announce multilateral agreement on the exchange of information between the ECB and AML CFT competent authorities </w:t>
      </w:r>
    </w:p>
    <w:p w14:paraId="38EAD69A" w14:textId="77777777" w:rsidR="00AD2772" w:rsidRPr="00AD2772" w:rsidRDefault="00AD2772" w:rsidP="00AD2772">
      <w:pPr>
        <w:spacing w:after="150"/>
        <w:rPr>
          <w:rFonts w:ascii="Helvetica" w:eastAsia="Times New Roman" w:hAnsi="Helvetica" w:cs="Times New Roman"/>
          <w:color w:val="8199A8"/>
          <w:sz w:val="20"/>
          <w:szCs w:val="20"/>
        </w:rPr>
      </w:pPr>
      <w:r w:rsidRPr="00AD2772">
        <w:rPr>
          <w:rFonts w:ascii="Helvetica" w:eastAsia="Times New Roman" w:hAnsi="Helvetica" w:cs="Times New Roman"/>
          <w:color w:val="8199A8"/>
          <w:sz w:val="20"/>
          <w:szCs w:val="20"/>
        </w:rPr>
        <w:t>15 January 2019</w:t>
      </w:r>
    </w:p>
    <w:p w14:paraId="24379382" w14:textId="77777777" w:rsidR="00AD2772" w:rsidRPr="00AD2772" w:rsidRDefault="00AD2772" w:rsidP="00AD2772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</w:rPr>
      </w:pPr>
      <w:r w:rsidRPr="00186653">
        <w:rPr>
          <w:rFonts w:ascii="Helvetica" w:eastAsia="Times New Roman" w:hAnsi="Helvetica" w:cs="Times New Roman"/>
          <w:b/>
          <w:bCs/>
          <w:color w:val="133850"/>
          <w:sz w:val="20"/>
          <w:szCs w:val="20"/>
          <w:highlight w:val="yellow"/>
        </w:rPr>
        <w:t>The European Supervisory Authorities (ESAs) approved on 10 January 2019 the content of </w:t>
      </w:r>
      <w:hyperlink r:id="rId4" w:history="1">
        <w:r w:rsidRPr="00186653">
          <w:rPr>
            <w:rFonts w:ascii="Helvetica" w:eastAsia="Times New Roman" w:hAnsi="Helvetica" w:cs="Times New Roman"/>
            <w:b/>
            <w:bCs/>
            <w:color w:val="267EB7"/>
            <w:sz w:val="20"/>
            <w:szCs w:val="20"/>
            <w:highlight w:val="yellow"/>
            <w:u w:val="single"/>
          </w:rPr>
          <w:t>the Multilateral Agreement</w:t>
        </w:r>
        <w:r w:rsidRPr="00186653">
          <w:rPr>
            <w:rFonts w:ascii="Helvetica" w:eastAsia="Times New Roman" w:hAnsi="Helvetica" w:cs="Times New Roman"/>
            <w:b/>
            <w:bCs/>
            <w:color w:val="267EB7"/>
            <w:sz w:val="20"/>
            <w:szCs w:val="20"/>
            <w:highlight w:val="yellow"/>
          </w:rPr>
          <w:t> </w:t>
        </w:r>
      </w:hyperlink>
      <w:r w:rsidRPr="00186653">
        <w:rPr>
          <w:rFonts w:ascii="Helvetica" w:eastAsia="Times New Roman" w:hAnsi="Helvetica" w:cs="Times New Roman"/>
          <w:b/>
          <w:bCs/>
          <w:color w:val="133850"/>
          <w:sz w:val="20"/>
          <w:szCs w:val="20"/>
          <w:highlight w:val="yellow"/>
        </w:rPr>
        <w:t>on the practical modalities for exchange of information between the European Central Bank (ECB) and all competent authorities (CAs) responsible for supervising compliance of credit and financial institutions</w:t>
      </w:r>
      <w:r w:rsidRPr="00AD2772">
        <w:rPr>
          <w:rFonts w:ascii="Helvetica" w:eastAsia="Times New Roman" w:hAnsi="Helvetica" w:cs="Times New Roman"/>
          <w:b/>
          <w:bCs/>
          <w:color w:val="133850"/>
          <w:sz w:val="20"/>
          <w:szCs w:val="20"/>
        </w:rPr>
        <w:t xml:space="preserve"> with anti-money laundering and countering the financing of terrorism (AML/CFT) </w:t>
      </w:r>
      <w:r w:rsidRPr="00186653">
        <w:rPr>
          <w:rFonts w:ascii="Helvetica" w:eastAsia="Times New Roman" w:hAnsi="Helvetica" w:cs="Times New Roman"/>
          <w:b/>
          <w:bCs/>
          <w:color w:val="133850"/>
          <w:sz w:val="20"/>
          <w:szCs w:val="20"/>
          <w:highlight w:val="yellow"/>
        </w:rPr>
        <w:t>obligations under the fourth Anti-Money Laundering Directive</w:t>
      </w:r>
      <w:bookmarkStart w:id="0" w:name="_GoBack"/>
      <w:bookmarkEnd w:id="0"/>
      <w:r w:rsidRPr="00AD2772">
        <w:rPr>
          <w:rFonts w:ascii="Helvetica" w:eastAsia="Times New Roman" w:hAnsi="Helvetica" w:cs="Times New Roman"/>
          <w:b/>
          <w:bCs/>
          <w:color w:val="133850"/>
          <w:sz w:val="20"/>
          <w:szCs w:val="20"/>
        </w:rPr>
        <w:t xml:space="preserve"> (AMLD4). </w:t>
      </w:r>
      <w:r w:rsidRPr="00186653">
        <w:rPr>
          <w:rFonts w:ascii="Helvetica" w:eastAsia="Times New Roman" w:hAnsi="Helvetica" w:cs="Times New Roman"/>
          <w:b/>
          <w:bCs/>
          <w:color w:val="133850"/>
          <w:sz w:val="20"/>
          <w:szCs w:val="20"/>
          <w:highlight w:val="lightGray"/>
        </w:rPr>
        <w:t>The Agreement will create a clear framework for exchanging information between the ECB and CAs and potentially will enhance the effectiveness of their supervisory practices.</w:t>
      </w:r>
      <w:r w:rsidRPr="00AD2772">
        <w:rPr>
          <w:rFonts w:ascii="Helvetica" w:eastAsia="Times New Roman" w:hAnsi="Helvetica" w:cs="Times New Roman"/>
          <w:b/>
          <w:bCs/>
          <w:color w:val="133850"/>
          <w:sz w:val="20"/>
          <w:szCs w:val="20"/>
        </w:rPr>
        <w:t> </w:t>
      </w:r>
    </w:p>
    <w:p w14:paraId="0322B999" w14:textId="77777777" w:rsidR="00AD2772" w:rsidRPr="00AD2772" w:rsidRDefault="00AD2772" w:rsidP="00AD2772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</w:rPr>
      </w:pPr>
      <w:r w:rsidRPr="00186653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AMLD4 was amended by the AMLD5 in June 2018. These amendments also included a new Article 57</w:t>
      </w:r>
      <w:proofErr w:type="gramStart"/>
      <w:r w:rsidRPr="00186653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a(</w:t>
      </w:r>
      <w:proofErr w:type="gramEnd"/>
      <w:r w:rsidRPr="00186653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2), which requires the ESAs to support the conclusion of an agreement on the practical modalities for exchange of information between the ECB and CAs.</w:t>
      </w:r>
    </w:p>
    <w:p w14:paraId="6636CE1D" w14:textId="77777777" w:rsidR="00AD2772" w:rsidRPr="00AD2772" w:rsidRDefault="00AD2772" w:rsidP="00AD2772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</w:rPr>
      </w:pPr>
      <w:r w:rsidRPr="00186653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This amendment is part of the EU legislator's wider efforts to enhance the cooperation and information exchange between prudential and AML/CFT supervisors through a clear legal mandate.</w:t>
      </w:r>
      <w:r w:rsidRPr="00AD2772">
        <w:rPr>
          <w:rFonts w:ascii="Helvetica" w:eastAsia="Times New Roman" w:hAnsi="Helvetica" w:cs="Times New Roman"/>
          <w:color w:val="133850"/>
          <w:sz w:val="20"/>
          <w:szCs w:val="20"/>
        </w:rPr>
        <w:t xml:space="preserve"> </w:t>
      </w:r>
      <w:r w:rsidRPr="00186653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 xml:space="preserve">To fulfil this mandate, the ESAs, together with the ECB and CAs, have developed this Multilateral Agreement, which contains provisions on the type of information and underlying process for exchanging it; confidentiality and data protection provisions; situations where the request for information can be refused; means of </w:t>
      </w:r>
      <w:proofErr w:type="spellStart"/>
      <w:r w:rsidRPr="00186653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communicaiton</w:t>
      </w:r>
      <w:proofErr w:type="spellEnd"/>
      <w:r w:rsidRPr="00186653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 xml:space="preserve"> and language used in the information exchange; the signing process; and the settlement of disputes procedures.</w:t>
      </w:r>
    </w:p>
    <w:p w14:paraId="5F8E1CD5" w14:textId="77777777" w:rsidR="00AD2772" w:rsidRPr="00AD2772" w:rsidRDefault="00AD2772" w:rsidP="00AD2772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</w:rPr>
      </w:pPr>
      <w:r w:rsidRPr="00186653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The Agreement was sent to the ECB and the CAs for signature.</w:t>
      </w:r>
    </w:p>
    <w:p w14:paraId="57165217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F2"/>
    <w:rsid w:val="00186653"/>
    <w:rsid w:val="00453EED"/>
    <w:rsid w:val="005C6FF2"/>
    <w:rsid w:val="00AD2772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7E643"/>
  <w14:defaultImageDpi w14:val="32767"/>
  <w15:chartTrackingRefBased/>
  <w15:docId w15:val="{C8C65779-4EFA-0C41-913B-1E066C10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7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7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D2772"/>
  </w:style>
  <w:style w:type="paragraph" w:customStyle="1" w:styleId="secondaryinfo">
    <w:name w:val="secondaryinfo"/>
    <w:basedOn w:val="Normal"/>
    <w:rsid w:val="00AD27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27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D27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2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ba.europa.eu/documents/10180/2545547/Agreement+between+CAs+and+the+ECB+on+exchange+of+information+on+AML.pdf/e83dd6ee-78f7-46a1-befb-3e91cedeb5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2020-02-15T09:59:00Z</dcterms:created>
  <dcterms:modified xsi:type="dcterms:W3CDTF">2020-04-13T10:49:00Z</dcterms:modified>
</cp:coreProperties>
</file>