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6D44" w14:textId="77777777" w:rsidR="00B013F2" w:rsidRPr="00B013F2" w:rsidRDefault="00B013F2" w:rsidP="00B013F2">
      <w:pPr>
        <w:pBdr>
          <w:bottom w:val="single" w:sz="18" w:space="0" w:color="7CBDC1"/>
        </w:pBdr>
        <w:spacing w:after="150"/>
        <w:outlineLvl w:val="0"/>
        <w:rPr>
          <w:rFonts w:ascii="Georgia" w:eastAsia="Times New Roman" w:hAnsi="Georgia" w:cs="Times New Roman"/>
          <w:b/>
          <w:bCs/>
          <w:color w:val="333333"/>
          <w:kern w:val="36"/>
          <w:sz w:val="60"/>
          <w:szCs w:val="60"/>
        </w:rPr>
      </w:pPr>
      <w:r w:rsidRPr="00357EAC">
        <w:rPr>
          <w:rFonts w:ascii="Georgia" w:eastAsia="Times New Roman" w:hAnsi="Georgia" w:cs="Times New Roman"/>
          <w:b/>
          <w:bCs/>
          <w:color w:val="333333"/>
          <w:kern w:val="36"/>
          <w:sz w:val="60"/>
          <w:szCs w:val="60"/>
          <w:highlight w:val="darkGray"/>
        </w:rPr>
        <w:t>2019 Seasonal influenza assessment: currently dominating viruses point at possible heavy impact on the elderly and healthcare systems</w:t>
      </w:r>
      <w:r w:rsidRPr="00B013F2">
        <w:rPr>
          <w:rFonts w:ascii="Georgia" w:eastAsia="Times New Roman" w:hAnsi="Georgia" w:cs="Times New Roman"/>
          <w:b/>
          <w:bCs/>
          <w:color w:val="333333"/>
          <w:kern w:val="36"/>
          <w:sz w:val="60"/>
          <w:szCs w:val="60"/>
        </w:rPr>
        <w:t> </w:t>
      </w:r>
    </w:p>
    <w:p w14:paraId="72C89C0C" w14:textId="77777777" w:rsidR="00B013F2" w:rsidRPr="00B013F2" w:rsidRDefault="00B013F2" w:rsidP="00B013F2">
      <w:pPr>
        <w:rPr>
          <w:rFonts w:ascii="Helvetica Neue" w:eastAsia="Times New Roman" w:hAnsi="Helvetica Neue" w:cs="Times New Roman"/>
          <w:color w:val="999999"/>
        </w:rPr>
      </w:pPr>
      <w:r w:rsidRPr="00B013F2">
        <w:rPr>
          <w:rFonts w:ascii="Helvetica Neue" w:eastAsia="Times New Roman" w:hAnsi="Helvetica Neue" w:cs="Times New Roman"/>
          <w:b/>
          <w:bCs/>
          <w:color w:val="FFFFFF"/>
          <w:sz w:val="18"/>
          <w:szCs w:val="18"/>
          <w:shd w:val="clear" w:color="auto" w:fill="777777"/>
        </w:rPr>
        <w:t>News story</w:t>
      </w:r>
    </w:p>
    <w:p w14:paraId="15176A1A" w14:textId="77777777" w:rsidR="00B013F2" w:rsidRPr="00B013F2" w:rsidRDefault="00B013F2" w:rsidP="00B013F2">
      <w:pPr>
        <w:rPr>
          <w:rFonts w:ascii="Helvetica Neue" w:eastAsia="Times New Roman" w:hAnsi="Helvetica Neue" w:cs="Times New Roman"/>
          <w:color w:val="999999"/>
        </w:rPr>
      </w:pPr>
      <w:r w:rsidRPr="00B013F2">
        <w:rPr>
          <w:rFonts w:ascii="Helvetica Neue" w:eastAsia="Times New Roman" w:hAnsi="Helvetica Neue" w:cs="Times New Roman"/>
          <w:color w:val="999999"/>
        </w:rPr>
        <w:t>18 Dec 2019</w:t>
      </w:r>
    </w:p>
    <w:p w14:paraId="3E4E3718" w14:textId="77777777" w:rsidR="00B013F2" w:rsidRPr="00B013F2" w:rsidRDefault="00357EAC" w:rsidP="00B013F2">
      <w:pPr>
        <w:rPr>
          <w:rFonts w:ascii="Helvetica Neue" w:eastAsia="Times New Roman" w:hAnsi="Helvetica Neue" w:cs="Times New Roman"/>
          <w:color w:val="333333"/>
        </w:rPr>
      </w:pPr>
      <w:hyperlink r:id="rId4" w:tgtFrame="_blank" w:history="1">
        <w:proofErr w:type="spellStart"/>
        <w:r w:rsidR="00B013F2" w:rsidRPr="00B013F2">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B013F2" w:rsidRPr="00B013F2">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B013F2" w:rsidRPr="00B013F2">
          <w:rPr>
            <w:rFonts w:ascii="Helvetica Neue" w:eastAsia="Times New Roman" w:hAnsi="Helvetica Neue" w:cs="Times New Roman"/>
            <w:color w:val="FFFFFF"/>
            <w:bdr w:val="none" w:sz="0" w:space="0" w:color="auto" w:frame="1"/>
            <w:shd w:val="clear" w:color="auto" w:fill="007BB6"/>
          </w:rPr>
          <w:t>Linked</w:t>
        </w:r>
        <w:proofErr w:type="spellEnd"/>
        <w:r w:rsidR="00B013F2" w:rsidRPr="00B013F2">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B013F2" w:rsidRPr="00B013F2">
          <w:rPr>
            <w:rFonts w:ascii="Helvetica Neue" w:eastAsia="Times New Roman" w:hAnsi="Helvetica Neue" w:cs="Times New Roman"/>
            <w:color w:val="FFFFFF"/>
            <w:bdr w:val="none" w:sz="0" w:space="0" w:color="auto" w:frame="1"/>
            <w:shd w:val="clear" w:color="auto" w:fill="FF6C4C"/>
          </w:rPr>
          <w:t>Mail</w:t>
        </w:r>
      </w:hyperlink>
    </w:p>
    <w:p w14:paraId="59A470C7" w14:textId="77777777" w:rsidR="00B013F2" w:rsidRPr="00B013F2" w:rsidRDefault="00B013F2" w:rsidP="00B013F2">
      <w:pPr>
        <w:shd w:val="clear" w:color="auto" w:fill="F2F8F9"/>
        <w:spacing w:after="343"/>
        <w:rPr>
          <w:rFonts w:ascii="Helvetica Neue" w:eastAsia="Times New Roman" w:hAnsi="Helvetica Neue" w:cs="Times New Roman"/>
          <w:b/>
          <w:bCs/>
          <w:color w:val="333333"/>
          <w:sz w:val="21"/>
          <w:szCs w:val="21"/>
        </w:rPr>
      </w:pPr>
      <w:r w:rsidRPr="00357EAC">
        <w:rPr>
          <w:rFonts w:ascii="Helvetica Neue" w:eastAsia="Times New Roman" w:hAnsi="Helvetica Neue" w:cs="Times New Roman"/>
          <w:b/>
          <w:bCs/>
          <w:color w:val="333333"/>
          <w:sz w:val="21"/>
          <w:szCs w:val="21"/>
          <w:highlight w:val="darkGray"/>
        </w:rPr>
        <w:t>The first virus detections for the 2019/2020 season indicate co-circulation of influenza types A (71%) and B (29%) viruses in the WHO European Region. This is a mix which potentially could result in high mortality in elderly patients and a heavy burden on healthcare services, warns the European Centre for Disease Control and Prevention (ECDC) and World Health Organization (WHO) Regional Office for Europe in a joint assessment issued today.</w:t>
      </w:r>
      <w:r w:rsidRPr="00B013F2">
        <w:rPr>
          <w:rFonts w:ascii="Helvetica Neue" w:eastAsia="Times New Roman" w:hAnsi="Helvetica Neue" w:cs="Times New Roman"/>
          <w:b/>
          <w:bCs/>
          <w:color w:val="333333"/>
          <w:sz w:val="21"/>
          <w:szCs w:val="21"/>
        </w:rPr>
        <w:t> </w:t>
      </w:r>
    </w:p>
    <w:p w14:paraId="14877310" w14:textId="77777777" w:rsidR="00B013F2" w:rsidRPr="00B013F2" w:rsidRDefault="00B013F2" w:rsidP="00B013F2">
      <w:pPr>
        <w:spacing w:after="150"/>
        <w:rPr>
          <w:rFonts w:ascii="Helvetica Neue" w:eastAsia="Times New Roman" w:hAnsi="Helvetica Neue" w:cs="Times New Roman"/>
          <w:color w:val="333333"/>
        </w:rPr>
      </w:pPr>
      <w:r w:rsidRPr="00357EAC">
        <w:rPr>
          <w:rFonts w:ascii="Helvetica Neue" w:eastAsia="Times New Roman" w:hAnsi="Helvetica Neue" w:cs="Times New Roman"/>
          <w:color w:val="333333"/>
          <w:highlight w:val="darkGray"/>
        </w:rPr>
        <w:t>At this early stage of the European influenza season, there is no evidence of significant excess mortality. However, influenza virus of type A(H3N2) is typically associated with serious health impacts among those aged 60 and above as previously seen during A(H3N2) dominated seasons.</w:t>
      </w:r>
    </w:p>
    <w:p w14:paraId="2B55EE74" w14:textId="77777777" w:rsidR="00B013F2" w:rsidRPr="00B013F2" w:rsidRDefault="00B013F2" w:rsidP="00B013F2">
      <w:pPr>
        <w:shd w:val="clear" w:color="auto" w:fill="EEEEEE"/>
        <w:jc w:val="both"/>
        <w:rPr>
          <w:rFonts w:ascii="Helvetica Neue" w:eastAsia="Times New Roman" w:hAnsi="Helvetica Neue" w:cs="Times New Roman"/>
          <w:color w:val="333333"/>
        </w:rPr>
      </w:pPr>
      <w:r w:rsidRPr="00357EAC">
        <w:rPr>
          <w:rFonts w:ascii="Helvetica Neue" w:eastAsia="Times New Roman" w:hAnsi="Helvetica Neue" w:cs="Times New Roman"/>
          <w:color w:val="333333"/>
          <w:highlight w:val="cyan"/>
        </w:rPr>
        <w:t>“Out of all infectious diseases, seasonal influenza is the one associated with the highest mortality in Europe.</w:t>
      </w:r>
      <w:r w:rsidRPr="00B013F2">
        <w:rPr>
          <w:rFonts w:ascii="Helvetica Neue" w:eastAsia="Times New Roman" w:hAnsi="Helvetica Neue" w:cs="Times New Roman"/>
          <w:color w:val="333333"/>
        </w:rPr>
        <w:t xml:space="preserve"> </w:t>
      </w:r>
      <w:r w:rsidRPr="00357EAC">
        <w:rPr>
          <w:rFonts w:ascii="Helvetica Neue" w:eastAsia="Times New Roman" w:hAnsi="Helvetica Neue" w:cs="Times New Roman"/>
          <w:color w:val="333333"/>
          <w:highlight w:val="cyan"/>
        </w:rPr>
        <w:t xml:space="preserve">We strongly encourage countries to continue </w:t>
      </w:r>
      <w:proofErr w:type="spellStart"/>
      <w:r w:rsidRPr="00357EAC">
        <w:rPr>
          <w:rFonts w:ascii="Helvetica Neue" w:eastAsia="Times New Roman" w:hAnsi="Helvetica Neue" w:cs="Times New Roman"/>
          <w:color w:val="333333"/>
          <w:highlight w:val="cyan"/>
        </w:rPr>
        <w:t>focussing</w:t>
      </w:r>
      <w:proofErr w:type="spellEnd"/>
      <w:r w:rsidRPr="00357EAC">
        <w:rPr>
          <w:rFonts w:ascii="Helvetica Neue" w:eastAsia="Times New Roman" w:hAnsi="Helvetica Neue" w:cs="Times New Roman"/>
          <w:color w:val="333333"/>
          <w:highlight w:val="cyan"/>
        </w:rPr>
        <w:t xml:space="preserve"> their vaccination efforts on the elderly and other eligible populations such as individuals with pre-existing heart- and lung disease”</w:t>
      </w:r>
      <w:r w:rsidRPr="00B013F2">
        <w:rPr>
          <w:rFonts w:ascii="Helvetica Neue" w:eastAsia="Times New Roman" w:hAnsi="Helvetica Neue" w:cs="Times New Roman"/>
          <w:color w:val="333333"/>
        </w:rPr>
        <w:t xml:space="preserve"> says </w:t>
      </w:r>
      <w:proofErr w:type="spellStart"/>
      <w:r w:rsidRPr="00B013F2">
        <w:rPr>
          <w:rFonts w:ascii="Helvetica Neue" w:eastAsia="Times New Roman" w:hAnsi="Helvetica Neue" w:cs="Times New Roman"/>
          <w:color w:val="333333"/>
        </w:rPr>
        <w:t>Pasi</w:t>
      </w:r>
      <w:proofErr w:type="spellEnd"/>
      <w:r w:rsidRPr="00B013F2">
        <w:rPr>
          <w:rFonts w:ascii="Helvetica Neue" w:eastAsia="Times New Roman" w:hAnsi="Helvetica Neue" w:cs="Times New Roman"/>
          <w:color w:val="333333"/>
        </w:rPr>
        <w:t xml:space="preserve"> </w:t>
      </w:r>
      <w:proofErr w:type="spellStart"/>
      <w:r w:rsidRPr="00B013F2">
        <w:rPr>
          <w:rFonts w:ascii="Helvetica Neue" w:eastAsia="Times New Roman" w:hAnsi="Helvetica Neue" w:cs="Times New Roman"/>
          <w:color w:val="333333"/>
        </w:rPr>
        <w:t>Penttinen</w:t>
      </w:r>
      <w:proofErr w:type="spellEnd"/>
      <w:r w:rsidRPr="00B013F2">
        <w:rPr>
          <w:rFonts w:ascii="Helvetica Neue" w:eastAsia="Times New Roman" w:hAnsi="Helvetica Neue" w:cs="Times New Roman"/>
          <w:color w:val="333333"/>
        </w:rPr>
        <w:t xml:space="preserve">, Head of ECDC influenza and respiratory </w:t>
      </w:r>
      <w:proofErr w:type="gramStart"/>
      <w:r w:rsidRPr="00B013F2">
        <w:rPr>
          <w:rFonts w:ascii="Helvetica Neue" w:eastAsia="Times New Roman" w:hAnsi="Helvetica Neue" w:cs="Times New Roman"/>
          <w:color w:val="333333"/>
        </w:rPr>
        <w:t>viruses</w:t>
      </w:r>
      <w:proofErr w:type="gramEnd"/>
      <w:r w:rsidRPr="00B013F2">
        <w:rPr>
          <w:rFonts w:ascii="Helvetica Neue" w:eastAsia="Times New Roman" w:hAnsi="Helvetica Neue" w:cs="Times New Roman"/>
          <w:color w:val="333333"/>
        </w:rPr>
        <w:t xml:space="preserve"> disease </w:t>
      </w:r>
      <w:proofErr w:type="spellStart"/>
      <w:r w:rsidRPr="00B013F2">
        <w:rPr>
          <w:rFonts w:ascii="Helvetica Neue" w:eastAsia="Times New Roman" w:hAnsi="Helvetica Neue" w:cs="Times New Roman"/>
          <w:color w:val="333333"/>
        </w:rPr>
        <w:t>programme</w:t>
      </w:r>
      <w:proofErr w:type="spellEnd"/>
      <w:r w:rsidRPr="00B013F2">
        <w:rPr>
          <w:rFonts w:ascii="Helvetica Neue" w:eastAsia="Times New Roman" w:hAnsi="Helvetica Neue" w:cs="Times New Roman"/>
          <w:color w:val="333333"/>
        </w:rPr>
        <w:t>.</w:t>
      </w:r>
    </w:p>
    <w:p w14:paraId="1AA9901D" w14:textId="77777777" w:rsidR="00B013F2" w:rsidRPr="00B013F2" w:rsidRDefault="00B013F2" w:rsidP="00B013F2">
      <w:pPr>
        <w:spacing w:after="150"/>
        <w:rPr>
          <w:rFonts w:ascii="Helvetica Neue" w:eastAsia="Times New Roman" w:hAnsi="Helvetica Neue" w:cs="Times New Roman"/>
          <w:color w:val="333333"/>
        </w:rPr>
      </w:pPr>
      <w:r w:rsidRPr="00357EAC">
        <w:rPr>
          <w:rFonts w:ascii="Helvetica Neue" w:eastAsia="Times New Roman" w:hAnsi="Helvetica Neue" w:cs="Times New Roman"/>
          <w:color w:val="333333"/>
          <w:highlight w:val="darkGray"/>
        </w:rPr>
        <w:t>The 2019/2020 influenza epidemic in the European Region started slightly early in week 47/2019 when the designated season threshold of 10% or more sentinel specimens across the Region being influenza virus positive was crossed.</w:t>
      </w:r>
      <w:r w:rsidRPr="00B013F2">
        <w:rPr>
          <w:rFonts w:ascii="Helvetica Neue" w:eastAsia="Times New Roman" w:hAnsi="Helvetica Neue" w:cs="Times New Roman"/>
          <w:color w:val="333333"/>
        </w:rPr>
        <w:t> </w:t>
      </w:r>
    </w:p>
    <w:p w14:paraId="760A764F" w14:textId="77777777" w:rsidR="00B013F2" w:rsidRPr="00357EAC" w:rsidRDefault="00B013F2" w:rsidP="00B013F2">
      <w:pPr>
        <w:shd w:val="clear" w:color="auto" w:fill="EEEEEE"/>
        <w:jc w:val="both"/>
        <w:rPr>
          <w:rFonts w:ascii="Helvetica Neue" w:eastAsia="Times New Roman" w:hAnsi="Helvetica Neue" w:cs="Times New Roman"/>
          <w:color w:val="333333"/>
          <w:highlight w:val="darkGray"/>
        </w:rPr>
      </w:pPr>
      <w:r w:rsidRPr="00357EAC">
        <w:rPr>
          <w:rFonts w:ascii="Helvetica Neue" w:eastAsia="Times New Roman" w:hAnsi="Helvetica Neue" w:cs="Times New Roman"/>
          <w:color w:val="333333"/>
          <w:highlight w:val="darkGray"/>
        </w:rPr>
        <w:t xml:space="preserve">“It is too soon to predict how the season will develop in terms of peak week, severity and duration” says </w:t>
      </w:r>
      <w:proofErr w:type="spellStart"/>
      <w:r w:rsidRPr="00357EAC">
        <w:rPr>
          <w:rFonts w:ascii="Helvetica Neue" w:eastAsia="Times New Roman" w:hAnsi="Helvetica Neue" w:cs="Times New Roman"/>
          <w:color w:val="333333"/>
          <w:highlight w:val="darkGray"/>
        </w:rPr>
        <w:t>Pasi</w:t>
      </w:r>
      <w:proofErr w:type="spellEnd"/>
      <w:r w:rsidRPr="00357EAC">
        <w:rPr>
          <w:rFonts w:ascii="Helvetica Neue" w:eastAsia="Times New Roman" w:hAnsi="Helvetica Neue" w:cs="Times New Roman"/>
          <w:color w:val="333333"/>
          <w:highlight w:val="darkGray"/>
        </w:rPr>
        <w:t xml:space="preserve"> </w:t>
      </w:r>
      <w:proofErr w:type="spellStart"/>
      <w:r w:rsidRPr="00357EAC">
        <w:rPr>
          <w:rFonts w:ascii="Helvetica Neue" w:eastAsia="Times New Roman" w:hAnsi="Helvetica Neue" w:cs="Times New Roman"/>
          <w:color w:val="333333"/>
          <w:highlight w:val="darkGray"/>
        </w:rPr>
        <w:t>Penttinen</w:t>
      </w:r>
      <w:proofErr w:type="spellEnd"/>
      <w:r w:rsidRPr="00357EAC">
        <w:rPr>
          <w:rFonts w:ascii="Helvetica Neue" w:eastAsia="Times New Roman" w:hAnsi="Helvetica Neue" w:cs="Times New Roman"/>
          <w:color w:val="333333"/>
          <w:highlight w:val="darkGray"/>
        </w:rPr>
        <w:t>. “However, it is likely that some countries will experience a peak in the middle of the holiday season when healthcare services are often reduced. The ability to manage a sudden influx of patients should therefore be reviewed in anticipation of likely increased patient flows in emergency care during the peak influenza weeks.”</w:t>
      </w:r>
    </w:p>
    <w:p w14:paraId="0A69A35F" w14:textId="77777777" w:rsidR="00B013F2" w:rsidRPr="00B013F2" w:rsidRDefault="00B013F2" w:rsidP="00B013F2">
      <w:pPr>
        <w:shd w:val="clear" w:color="auto" w:fill="EEEEEE"/>
        <w:jc w:val="both"/>
        <w:rPr>
          <w:rFonts w:ascii="Helvetica Neue" w:eastAsia="Times New Roman" w:hAnsi="Helvetica Neue" w:cs="Times New Roman"/>
          <w:color w:val="333333"/>
        </w:rPr>
      </w:pPr>
      <w:r w:rsidRPr="00357EAC">
        <w:rPr>
          <w:rFonts w:ascii="Helvetica Neue" w:eastAsia="Times New Roman" w:hAnsi="Helvetica Neue" w:cs="Times New Roman"/>
          <w:color w:val="333333"/>
          <w:highlight w:val="cyan"/>
        </w:rPr>
        <w:t>“Vaccination remains the single most effective measure for preventing influenza infection and development of severe disease among the frail and vulnerable”,</w:t>
      </w:r>
      <w:r w:rsidRPr="00B013F2">
        <w:rPr>
          <w:rFonts w:ascii="Helvetica Neue" w:eastAsia="Times New Roman" w:hAnsi="Helvetica Neue" w:cs="Times New Roman"/>
          <w:color w:val="333333"/>
        </w:rPr>
        <w:t xml:space="preserve"> says Richard </w:t>
      </w:r>
      <w:proofErr w:type="spellStart"/>
      <w:r w:rsidRPr="00B013F2">
        <w:rPr>
          <w:rFonts w:ascii="Helvetica Neue" w:eastAsia="Times New Roman" w:hAnsi="Helvetica Neue" w:cs="Times New Roman"/>
          <w:color w:val="333333"/>
        </w:rPr>
        <w:lastRenderedPageBreak/>
        <w:t>Pebody</w:t>
      </w:r>
      <w:proofErr w:type="spellEnd"/>
      <w:r w:rsidRPr="00B013F2">
        <w:rPr>
          <w:rFonts w:ascii="Helvetica Neue" w:eastAsia="Times New Roman" w:hAnsi="Helvetica Neue" w:cs="Times New Roman"/>
          <w:color w:val="333333"/>
        </w:rPr>
        <w:t>, Team Leader, High Threat Pathogens Infectious Hazard Management at WHO Regional Office for Europe. “If the disease occurs, the timely administration of antivirals is recommended to mitigate severe outcomes in those most at risk”.</w:t>
      </w:r>
    </w:p>
    <w:p w14:paraId="11AD31EE" w14:textId="77777777" w:rsidR="00B013F2" w:rsidRPr="00B013F2" w:rsidRDefault="00B013F2" w:rsidP="00B013F2">
      <w:pPr>
        <w:spacing w:after="150"/>
        <w:rPr>
          <w:rFonts w:ascii="Helvetica Neue" w:eastAsia="Times New Roman" w:hAnsi="Helvetica Neue" w:cs="Times New Roman"/>
          <w:color w:val="333333"/>
        </w:rPr>
      </w:pPr>
      <w:bookmarkStart w:id="0" w:name="_GoBack"/>
      <w:bookmarkEnd w:id="0"/>
      <w:r w:rsidRPr="00357EAC">
        <w:rPr>
          <w:rFonts w:ascii="Helvetica Neue" w:eastAsia="Times New Roman" w:hAnsi="Helvetica Neue" w:cs="Times New Roman"/>
          <w:color w:val="333333"/>
          <w:highlight w:val="cyan"/>
        </w:rPr>
        <w:t>Health care workers should be encouraged to receive vaccination against influenza to reduce the risk of infecting vulnerable groups in addition to protecting themselves. Non-pharmaceutical countermeasures against influenza, such as voluntary self-isolation of patients, hand washing, and respiratory hygiene should also be encouraged during the whole season.</w:t>
      </w:r>
    </w:p>
    <w:p w14:paraId="3C6136B3" w14:textId="77777777" w:rsidR="00B013F2" w:rsidRPr="00B013F2" w:rsidRDefault="00B013F2" w:rsidP="00B013F2">
      <w:pPr>
        <w:spacing w:after="150"/>
        <w:rPr>
          <w:rFonts w:ascii="Helvetica Neue" w:eastAsia="Times New Roman" w:hAnsi="Helvetica Neue" w:cs="Times New Roman"/>
          <w:color w:val="333333"/>
        </w:rPr>
      </w:pPr>
      <w:r w:rsidRPr="00B013F2">
        <w:rPr>
          <w:rFonts w:ascii="Helvetica Neue" w:eastAsia="Times New Roman" w:hAnsi="Helvetica Neue" w:cs="Times New Roman"/>
          <w:color w:val="333333"/>
        </w:rPr>
        <w:t>The joint ECDC and WHO Europe report "</w:t>
      </w:r>
      <w:r w:rsidRPr="00B013F2">
        <w:rPr>
          <w:rFonts w:ascii="Helvetica Neue" w:eastAsia="Times New Roman" w:hAnsi="Helvetica Neue" w:cs="Times New Roman"/>
          <w:i/>
          <w:iCs/>
          <w:color w:val="333333"/>
        </w:rPr>
        <w:t>The Influenza season 2019/2020: early situation assessment</w:t>
      </w:r>
      <w:r w:rsidRPr="00B013F2">
        <w:rPr>
          <w:rFonts w:ascii="Helvetica Neue" w:eastAsia="Times New Roman" w:hAnsi="Helvetica Neue" w:cs="Times New Roman"/>
          <w:color w:val="333333"/>
        </w:rPr>
        <w:t>" aims to inform the decisions of national public health authorities and healthcare providers on interventions such as vaccination, antiviral drug use and infection prevention and control measures as well as allocation of appropriate healthcare resources.</w:t>
      </w:r>
    </w:p>
    <w:p w14:paraId="787C568D" w14:textId="77777777" w:rsidR="00B013F2" w:rsidRPr="00B013F2" w:rsidRDefault="00B013F2" w:rsidP="00B013F2">
      <w:pPr>
        <w:rPr>
          <w:rFonts w:ascii="Helvetica Neue" w:eastAsia="Times New Roman" w:hAnsi="Helvetica Neue" w:cs="Times New Roman"/>
          <w:color w:val="333333"/>
        </w:rPr>
      </w:pPr>
      <w:r w:rsidRPr="00B013F2">
        <w:rPr>
          <w:rFonts w:ascii="Helvetica Neue" w:eastAsia="Times New Roman" w:hAnsi="Helvetica Neue" w:cs="Times New Roman"/>
          <w:color w:val="333333"/>
        </w:rPr>
        <w:t>ECDC and WHO Europe monitor seasonal influenza and produce weekly updates. For more information see </w:t>
      </w:r>
      <w:hyperlink r:id="rId8" w:tgtFrame="_blank" w:history="1">
        <w:r w:rsidRPr="00B013F2">
          <w:rPr>
            <w:rFonts w:ascii="Helvetica Neue" w:eastAsia="Times New Roman" w:hAnsi="Helvetica Neue" w:cs="Times New Roman"/>
            <w:color w:val="67B00A"/>
            <w:u w:val="single"/>
          </w:rPr>
          <w:t>Flu News Europe</w:t>
        </w:r>
      </w:hyperlink>
      <w:r w:rsidRPr="00B013F2">
        <w:rPr>
          <w:rFonts w:ascii="Helvetica Neue" w:eastAsia="Times New Roman" w:hAnsi="Helvetica Neue" w:cs="Times New Roman"/>
          <w:color w:val="333333"/>
        </w:rPr>
        <w:t>.</w:t>
      </w:r>
    </w:p>
    <w:p w14:paraId="7E06A20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9E"/>
    <w:rsid w:val="00357EAC"/>
    <w:rsid w:val="00453EED"/>
    <w:rsid w:val="00B013F2"/>
    <w:rsid w:val="00BE080D"/>
    <w:rsid w:val="00E2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A3FA3"/>
  <w14:defaultImageDpi w14:val="32767"/>
  <w15:chartTrackingRefBased/>
  <w15:docId w15:val="{487F6038-E55F-6D48-A42F-4C2BF058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013F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3F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013F2"/>
  </w:style>
  <w:style w:type="character" w:customStyle="1" w:styleId="label">
    <w:name w:val="label"/>
    <w:basedOn w:val="DefaultParagraphFont"/>
    <w:rsid w:val="00B013F2"/>
  </w:style>
  <w:style w:type="character" w:customStyle="1" w:styleId="ctmetavalue">
    <w:name w:val="ct__meta__value"/>
    <w:basedOn w:val="DefaultParagraphFont"/>
    <w:rsid w:val="00B013F2"/>
  </w:style>
  <w:style w:type="character" w:styleId="Hyperlink">
    <w:name w:val="Hyperlink"/>
    <w:basedOn w:val="DefaultParagraphFont"/>
    <w:uiPriority w:val="99"/>
    <w:semiHidden/>
    <w:unhideWhenUsed/>
    <w:rsid w:val="00B013F2"/>
    <w:rPr>
      <w:color w:val="0000FF"/>
      <w:u w:val="single"/>
    </w:rPr>
  </w:style>
  <w:style w:type="character" w:customStyle="1" w:styleId="sr-only">
    <w:name w:val="sr-only"/>
    <w:basedOn w:val="DefaultParagraphFont"/>
    <w:rsid w:val="00B013F2"/>
  </w:style>
  <w:style w:type="paragraph" w:customStyle="1" w:styleId="ctpage-description">
    <w:name w:val="ct__page-description"/>
    <w:basedOn w:val="Normal"/>
    <w:rsid w:val="00B013F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013F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013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1292">
      <w:bodyDiv w:val="1"/>
      <w:marLeft w:val="0"/>
      <w:marRight w:val="0"/>
      <w:marTop w:val="0"/>
      <w:marBottom w:val="0"/>
      <w:divBdr>
        <w:top w:val="none" w:sz="0" w:space="0" w:color="auto"/>
        <w:left w:val="none" w:sz="0" w:space="0" w:color="auto"/>
        <w:bottom w:val="none" w:sz="0" w:space="0" w:color="auto"/>
        <w:right w:val="none" w:sz="0" w:space="0" w:color="auto"/>
      </w:divBdr>
      <w:divsChild>
        <w:div w:id="1649020497">
          <w:marLeft w:val="0"/>
          <w:marRight w:val="0"/>
          <w:marTop w:val="0"/>
          <w:marBottom w:val="343"/>
          <w:divBdr>
            <w:top w:val="none" w:sz="0" w:space="0" w:color="auto"/>
            <w:left w:val="none" w:sz="0" w:space="0" w:color="auto"/>
            <w:bottom w:val="none" w:sz="0" w:space="0" w:color="auto"/>
            <w:right w:val="none" w:sz="0" w:space="0" w:color="auto"/>
          </w:divBdr>
          <w:divsChild>
            <w:div w:id="662660426">
              <w:marLeft w:val="0"/>
              <w:marRight w:val="0"/>
              <w:marTop w:val="0"/>
              <w:marBottom w:val="0"/>
              <w:divBdr>
                <w:top w:val="none" w:sz="0" w:space="0" w:color="auto"/>
                <w:left w:val="none" w:sz="0" w:space="0" w:color="auto"/>
                <w:bottom w:val="none" w:sz="0" w:space="0" w:color="auto"/>
                <w:right w:val="none" w:sz="0" w:space="0" w:color="auto"/>
              </w:divBdr>
            </w:div>
          </w:divsChild>
        </w:div>
        <w:div w:id="1578709563">
          <w:marLeft w:val="0"/>
          <w:marRight w:val="0"/>
          <w:marTop w:val="0"/>
          <w:marBottom w:val="0"/>
          <w:divBdr>
            <w:top w:val="none" w:sz="0" w:space="0" w:color="auto"/>
            <w:left w:val="none" w:sz="0" w:space="0" w:color="auto"/>
            <w:bottom w:val="none" w:sz="0" w:space="0" w:color="auto"/>
            <w:right w:val="none" w:sz="0" w:space="0" w:color="auto"/>
          </w:divBdr>
          <w:divsChild>
            <w:div w:id="880244073">
              <w:marLeft w:val="0"/>
              <w:marRight w:val="0"/>
              <w:marTop w:val="0"/>
              <w:marBottom w:val="343"/>
              <w:divBdr>
                <w:top w:val="none" w:sz="0" w:space="0" w:color="auto"/>
                <w:left w:val="none" w:sz="0" w:space="0" w:color="auto"/>
                <w:bottom w:val="none" w:sz="0" w:space="0" w:color="auto"/>
                <w:right w:val="none" w:sz="0" w:space="0" w:color="auto"/>
              </w:divBdr>
            </w:div>
          </w:divsChild>
        </w:div>
        <w:div w:id="408888166">
          <w:marLeft w:val="0"/>
          <w:marRight w:val="0"/>
          <w:marTop w:val="0"/>
          <w:marBottom w:val="0"/>
          <w:divBdr>
            <w:top w:val="none" w:sz="0" w:space="0" w:color="auto"/>
            <w:left w:val="none" w:sz="0" w:space="0" w:color="auto"/>
            <w:bottom w:val="none" w:sz="0" w:space="0" w:color="auto"/>
            <w:right w:val="none" w:sz="0" w:space="0" w:color="auto"/>
          </w:divBdr>
          <w:divsChild>
            <w:div w:id="1857232759">
              <w:marLeft w:val="0"/>
              <w:marRight w:val="0"/>
              <w:marTop w:val="0"/>
              <w:marBottom w:val="0"/>
              <w:divBdr>
                <w:top w:val="none" w:sz="0" w:space="0" w:color="auto"/>
                <w:left w:val="none" w:sz="0" w:space="0" w:color="auto"/>
                <w:bottom w:val="none" w:sz="0" w:space="0" w:color="auto"/>
                <w:right w:val="none" w:sz="0" w:space="0" w:color="auto"/>
              </w:divBdr>
              <w:divsChild>
                <w:div w:id="1117603070">
                  <w:marLeft w:val="0"/>
                  <w:marRight w:val="0"/>
                  <w:marTop w:val="0"/>
                  <w:marBottom w:val="343"/>
                  <w:divBdr>
                    <w:top w:val="none" w:sz="0" w:space="0" w:color="auto"/>
                    <w:left w:val="none" w:sz="0" w:space="0" w:color="auto"/>
                    <w:bottom w:val="none" w:sz="0" w:space="0" w:color="auto"/>
                    <w:right w:val="none" w:sz="0" w:space="0" w:color="auto"/>
                  </w:divBdr>
                  <w:divsChild>
                    <w:div w:id="287853878">
                      <w:marLeft w:val="0"/>
                      <w:marRight w:val="0"/>
                      <w:marTop w:val="0"/>
                      <w:marBottom w:val="0"/>
                      <w:divBdr>
                        <w:top w:val="none" w:sz="0" w:space="0" w:color="auto"/>
                        <w:left w:val="none" w:sz="0" w:space="0" w:color="auto"/>
                        <w:bottom w:val="none" w:sz="0" w:space="0" w:color="auto"/>
                        <w:right w:val="none" w:sz="0" w:space="0" w:color="auto"/>
                      </w:divBdr>
                      <w:divsChild>
                        <w:div w:id="975262916">
                          <w:marLeft w:val="0"/>
                          <w:marRight w:val="0"/>
                          <w:marTop w:val="0"/>
                          <w:marBottom w:val="0"/>
                          <w:divBdr>
                            <w:top w:val="none" w:sz="0" w:space="0" w:color="auto"/>
                            <w:left w:val="none" w:sz="0" w:space="0" w:color="auto"/>
                            <w:bottom w:val="none" w:sz="0" w:space="0" w:color="auto"/>
                            <w:right w:val="none" w:sz="0" w:space="0" w:color="auto"/>
                          </w:divBdr>
                          <w:divsChild>
                            <w:div w:id="239953316">
                              <w:blockQuote w:val="1"/>
                              <w:marLeft w:val="0"/>
                              <w:marRight w:val="0"/>
                              <w:marTop w:val="0"/>
                              <w:marBottom w:val="171"/>
                              <w:divBdr>
                                <w:top w:val="none" w:sz="0" w:space="0" w:color="auto"/>
                                <w:left w:val="none" w:sz="0" w:space="0" w:color="auto"/>
                                <w:bottom w:val="none" w:sz="0" w:space="0" w:color="auto"/>
                                <w:right w:val="none" w:sz="0" w:space="0" w:color="auto"/>
                              </w:divBdr>
                            </w:div>
                            <w:div w:id="1706980406">
                              <w:blockQuote w:val="1"/>
                              <w:marLeft w:val="0"/>
                              <w:marRight w:val="0"/>
                              <w:marTop w:val="0"/>
                              <w:marBottom w:val="171"/>
                              <w:divBdr>
                                <w:top w:val="none" w:sz="0" w:space="0" w:color="auto"/>
                                <w:left w:val="none" w:sz="0" w:space="0" w:color="auto"/>
                                <w:bottom w:val="none" w:sz="0" w:space="0" w:color="auto"/>
                                <w:right w:val="none" w:sz="0" w:space="0" w:color="auto"/>
                              </w:divBdr>
                            </w:div>
                            <w:div w:id="1733580587">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unewseurope.org/" TargetMode="External"/><Relationship Id="rId3" Type="http://schemas.openxmlformats.org/officeDocument/2006/relationships/webSettings" Target="webSettings.xml"/><Relationship Id="rId7" Type="http://schemas.openxmlformats.org/officeDocument/2006/relationships/hyperlink" Target="mailto:?subject=2019%20Seasonal%20influenza%20assessment%3A%20currently%20dominating%20viruses%20point%20at%20possible%20heavy%20impact%20on%20the%20elderly%20and%20healthcare%20systems%20&amp;body=https%3A//www.ecdc.europa.eu/en/news-events/2019-seasonal-influenza-assessment-currently-dominating-viruses-point-possible-heav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2019-seasonal-influenza-assessment-currently-dominating-viruses-point-possible-heavy&amp;title=2019%20Seasonal%20influenza%20assessment%3A%20currently%20dominating%20viruses%20point%20at%20possible%20heavy%20impact%20on%20the%20elderly%20and%20healthcare%20systems%20" TargetMode="External"/><Relationship Id="rId5" Type="http://schemas.openxmlformats.org/officeDocument/2006/relationships/hyperlink" Target="https://www.facebook.com/sharer/sharer.php?u=https%3A//www.ecdc.europa.eu/en/news-events/2019-seasonal-influenza-assessment-currently-dominating-viruses-point-possible-heavy&amp;t=2019%20Seasonal%20influenza%20assessment%3A%20currently%20dominating%20viruses%20point%20at%20possible%20heavy%20impact%20on%20the%20elderly%20and%20healthcare%20systems%20" TargetMode="External"/><Relationship Id="rId10" Type="http://schemas.openxmlformats.org/officeDocument/2006/relationships/theme" Target="theme/theme1.xml"/><Relationship Id="rId4" Type="http://schemas.openxmlformats.org/officeDocument/2006/relationships/hyperlink" Target="https://twitter.com/share?url=https%3A//www.ecdc.europa.eu/en/news-events/2019-seasonal-influenza-assessment-currently-dominating-viruses-point-possible-heavy&amp;text=2019%20Seasonal%20influenza%20assessment%3A%20currently%20dominating%20viruses%20point%20at%20possible%20heavy%20impact%20on%20the%20elderly%20and%20healthcare%20systems%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2020-02-17T09:14:00Z</dcterms:created>
  <dcterms:modified xsi:type="dcterms:W3CDTF">2020-04-13T12:47:00Z</dcterms:modified>
</cp:coreProperties>
</file>