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7F7E2" w14:textId="77777777" w:rsidR="007C331B" w:rsidRPr="007C331B" w:rsidRDefault="007C331B" w:rsidP="007C331B">
      <w:pPr>
        <w:pBdr>
          <w:bottom w:val="single" w:sz="18" w:space="0" w:color="7CBDC1"/>
        </w:pBdr>
        <w:spacing w:after="150"/>
        <w:outlineLvl w:val="0"/>
        <w:rPr>
          <w:rFonts w:ascii="Georgia" w:eastAsia="Times New Roman" w:hAnsi="Georgia" w:cs="Times New Roman"/>
          <w:b/>
          <w:bCs/>
          <w:color w:val="333333"/>
          <w:kern w:val="36"/>
          <w:sz w:val="60"/>
          <w:szCs w:val="60"/>
        </w:rPr>
      </w:pPr>
      <w:proofErr w:type="spellStart"/>
      <w:r w:rsidRPr="007C331B">
        <w:rPr>
          <w:rFonts w:ascii="Georgia" w:eastAsia="Times New Roman" w:hAnsi="Georgia" w:cs="Times New Roman"/>
          <w:b/>
          <w:bCs/>
          <w:color w:val="333333"/>
          <w:kern w:val="36"/>
          <w:sz w:val="60"/>
          <w:szCs w:val="60"/>
        </w:rPr>
        <w:t>Gonorrhoea</w:t>
      </w:r>
      <w:proofErr w:type="spellEnd"/>
      <w:r w:rsidRPr="007C331B">
        <w:rPr>
          <w:rFonts w:ascii="Georgia" w:eastAsia="Times New Roman" w:hAnsi="Georgia" w:cs="Times New Roman"/>
          <w:b/>
          <w:bCs/>
          <w:color w:val="333333"/>
          <w:kern w:val="36"/>
          <w:sz w:val="60"/>
          <w:szCs w:val="60"/>
        </w:rPr>
        <w:t xml:space="preserve"> cases on the rise across Europe</w:t>
      </w:r>
    </w:p>
    <w:p w14:paraId="701D66BA" w14:textId="77777777" w:rsidR="007C331B" w:rsidRPr="007C331B" w:rsidRDefault="007C331B" w:rsidP="007C331B">
      <w:pPr>
        <w:rPr>
          <w:rFonts w:ascii="Helvetica Neue" w:eastAsia="Times New Roman" w:hAnsi="Helvetica Neue" w:cs="Times New Roman"/>
          <w:color w:val="999999"/>
        </w:rPr>
      </w:pPr>
      <w:r w:rsidRPr="007C331B">
        <w:rPr>
          <w:rFonts w:ascii="Helvetica Neue" w:eastAsia="Times New Roman" w:hAnsi="Helvetica Neue" w:cs="Times New Roman"/>
          <w:b/>
          <w:bCs/>
          <w:color w:val="FFFFFF"/>
          <w:sz w:val="18"/>
          <w:szCs w:val="18"/>
          <w:shd w:val="clear" w:color="auto" w:fill="777777"/>
        </w:rPr>
        <w:t>News story</w:t>
      </w:r>
    </w:p>
    <w:p w14:paraId="32FACE4E" w14:textId="77777777" w:rsidR="007C331B" w:rsidRPr="007C331B" w:rsidRDefault="007C331B" w:rsidP="007C331B">
      <w:pPr>
        <w:rPr>
          <w:rFonts w:ascii="Helvetica Neue" w:eastAsia="Times New Roman" w:hAnsi="Helvetica Neue" w:cs="Times New Roman"/>
          <w:color w:val="999999"/>
        </w:rPr>
      </w:pPr>
      <w:r w:rsidRPr="007C331B">
        <w:rPr>
          <w:rFonts w:ascii="Helvetica Neue" w:eastAsia="Times New Roman" w:hAnsi="Helvetica Neue" w:cs="Times New Roman"/>
          <w:color w:val="999999"/>
        </w:rPr>
        <w:t>25 Apr 2019</w:t>
      </w:r>
    </w:p>
    <w:p w14:paraId="5AC94CFE" w14:textId="77777777" w:rsidR="007C331B" w:rsidRPr="007C331B" w:rsidRDefault="008F7D63" w:rsidP="007C331B">
      <w:pPr>
        <w:rPr>
          <w:rFonts w:ascii="Helvetica Neue" w:eastAsia="Times New Roman" w:hAnsi="Helvetica Neue" w:cs="Times New Roman"/>
          <w:color w:val="333333"/>
        </w:rPr>
      </w:pPr>
      <w:hyperlink r:id="rId4" w:tgtFrame="_blank" w:history="1">
        <w:proofErr w:type="spellStart"/>
        <w:r w:rsidR="007C331B" w:rsidRPr="007C331B">
          <w:rPr>
            <w:rFonts w:ascii="Helvetica Neue" w:eastAsia="Times New Roman" w:hAnsi="Helvetica Neue" w:cs="Times New Roman"/>
            <w:color w:val="FFFFFF"/>
            <w:bdr w:val="none" w:sz="0" w:space="0" w:color="auto" w:frame="1"/>
            <w:shd w:val="clear" w:color="auto" w:fill="00ACED"/>
          </w:rPr>
          <w:t>Twitter</w:t>
        </w:r>
      </w:hyperlink>
      <w:hyperlink r:id="rId5" w:tgtFrame="_blank" w:history="1">
        <w:r w:rsidR="007C331B" w:rsidRPr="007C331B">
          <w:rPr>
            <w:rFonts w:ascii="Helvetica Neue" w:eastAsia="Times New Roman" w:hAnsi="Helvetica Neue" w:cs="Times New Roman"/>
            <w:color w:val="FFFFFF"/>
            <w:bdr w:val="none" w:sz="0" w:space="0" w:color="auto" w:frame="1"/>
            <w:shd w:val="clear" w:color="auto" w:fill="3B5998"/>
          </w:rPr>
          <w:t>Facebook</w:t>
        </w:r>
      </w:hyperlink>
      <w:hyperlink r:id="rId6" w:tgtFrame="_blank" w:history="1">
        <w:r w:rsidR="007C331B" w:rsidRPr="007C331B">
          <w:rPr>
            <w:rFonts w:ascii="Helvetica Neue" w:eastAsia="Times New Roman" w:hAnsi="Helvetica Neue" w:cs="Times New Roman"/>
            <w:color w:val="FFFFFF"/>
            <w:bdr w:val="none" w:sz="0" w:space="0" w:color="auto" w:frame="1"/>
            <w:shd w:val="clear" w:color="auto" w:fill="007BB6"/>
          </w:rPr>
          <w:t>Linked</w:t>
        </w:r>
        <w:proofErr w:type="spellEnd"/>
        <w:r w:rsidR="007C331B" w:rsidRPr="007C331B">
          <w:rPr>
            <w:rFonts w:ascii="Helvetica Neue" w:eastAsia="Times New Roman" w:hAnsi="Helvetica Neue" w:cs="Times New Roman"/>
            <w:color w:val="FFFFFF"/>
            <w:bdr w:val="none" w:sz="0" w:space="0" w:color="auto" w:frame="1"/>
            <w:shd w:val="clear" w:color="auto" w:fill="007BB6"/>
          </w:rPr>
          <w:t xml:space="preserve"> In</w:t>
        </w:r>
      </w:hyperlink>
      <w:hyperlink r:id="rId7" w:history="1">
        <w:r w:rsidR="007C331B" w:rsidRPr="007C331B">
          <w:rPr>
            <w:rFonts w:ascii="Helvetica Neue" w:eastAsia="Times New Roman" w:hAnsi="Helvetica Neue" w:cs="Times New Roman"/>
            <w:color w:val="FFFFFF"/>
            <w:bdr w:val="none" w:sz="0" w:space="0" w:color="auto" w:frame="1"/>
            <w:shd w:val="clear" w:color="auto" w:fill="FF6C4C"/>
          </w:rPr>
          <w:t>Mail</w:t>
        </w:r>
      </w:hyperlink>
    </w:p>
    <w:p w14:paraId="779B9120" w14:textId="77777777" w:rsidR="007C331B" w:rsidRPr="007C331B" w:rsidRDefault="007C331B" w:rsidP="007C331B">
      <w:pPr>
        <w:shd w:val="clear" w:color="auto" w:fill="F2F8F9"/>
        <w:spacing w:after="343"/>
        <w:rPr>
          <w:rFonts w:ascii="Helvetica Neue" w:eastAsia="Times New Roman" w:hAnsi="Helvetica Neue" w:cs="Times New Roman"/>
          <w:b/>
          <w:bCs/>
          <w:color w:val="333333"/>
          <w:sz w:val="21"/>
          <w:szCs w:val="21"/>
        </w:rPr>
      </w:pPr>
      <w:r w:rsidRPr="008F7D63">
        <w:rPr>
          <w:rFonts w:ascii="Helvetica Neue" w:eastAsia="Times New Roman" w:hAnsi="Helvetica Neue" w:cs="Times New Roman"/>
          <w:b/>
          <w:bCs/>
          <w:color w:val="333333"/>
          <w:sz w:val="21"/>
          <w:szCs w:val="21"/>
          <w:highlight w:val="darkGray"/>
        </w:rPr>
        <w:t xml:space="preserve">Following a decline in notification rates in 2016, the number of </w:t>
      </w:r>
      <w:proofErr w:type="spellStart"/>
      <w:r w:rsidRPr="008F7D63">
        <w:rPr>
          <w:rFonts w:ascii="Helvetica Neue" w:eastAsia="Times New Roman" w:hAnsi="Helvetica Neue" w:cs="Times New Roman"/>
          <w:b/>
          <w:bCs/>
          <w:color w:val="333333"/>
          <w:sz w:val="21"/>
          <w:szCs w:val="21"/>
          <w:highlight w:val="darkGray"/>
        </w:rPr>
        <w:t>gonorrhoea</w:t>
      </w:r>
      <w:proofErr w:type="spellEnd"/>
      <w:r w:rsidRPr="008F7D63">
        <w:rPr>
          <w:rFonts w:ascii="Helvetica Neue" w:eastAsia="Times New Roman" w:hAnsi="Helvetica Neue" w:cs="Times New Roman"/>
          <w:b/>
          <w:bCs/>
          <w:color w:val="333333"/>
          <w:sz w:val="21"/>
          <w:szCs w:val="21"/>
          <w:highlight w:val="darkGray"/>
        </w:rPr>
        <w:t xml:space="preserve"> cases has gone up by 17% across the reporting EU/EEA countries with more than 89 000 confirmed diagnoses in 2017 – more than 240 cases a day.</w:t>
      </w:r>
    </w:p>
    <w:p w14:paraId="261B6533" w14:textId="77777777" w:rsidR="007C331B" w:rsidRPr="008F7D63" w:rsidRDefault="007C331B" w:rsidP="007C331B">
      <w:pPr>
        <w:spacing w:after="150"/>
        <w:rPr>
          <w:rFonts w:ascii="Helvetica Neue" w:eastAsia="Times New Roman" w:hAnsi="Helvetica Neue" w:cs="Times New Roman"/>
          <w:color w:val="333333"/>
          <w:highlight w:val="darkGray"/>
        </w:rPr>
      </w:pPr>
      <w:r w:rsidRPr="008F7D63">
        <w:rPr>
          <w:rFonts w:ascii="Helvetica Neue" w:eastAsia="Times New Roman" w:hAnsi="Helvetica Neue" w:cs="Times New Roman"/>
          <w:color w:val="333333"/>
          <w:highlight w:val="darkGray"/>
        </w:rPr>
        <w:t xml:space="preserve">The 2017 increase follows the overall trend over the last decade during which 20 of the 28 EU/EEA countries consistently reporting registered an increase in the number of notified </w:t>
      </w:r>
      <w:proofErr w:type="spellStart"/>
      <w:r w:rsidRPr="008F7D63">
        <w:rPr>
          <w:rFonts w:ascii="Helvetica Neue" w:eastAsia="Times New Roman" w:hAnsi="Helvetica Neue" w:cs="Times New Roman"/>
          <w:color w:val="333333"/>
          <w:highlight w:val="darkGray"/>
        </w:rPr>
        <w:t>gonorrhoea</w:t>
      </w:r>
      <w:proofErr w:type="spellEnd"/>
      <w:r w:rsidRPr="008F7D63">
        <w:rPr>
          <w:rFonts w:ascii="Helvetica Neue" w:eastAsia="Times New Roman" w:hAnsi="Helvetica Neue" w:cs="Times New Roman"/>
          <w:color w:val="333333"/>
          <w:highlight w:val="darkGray"/>
        </w:rPr>
        <w:t xml:space="preserve"> cases. Since 2008, France and Portugal experienced a six-fold increase, Denmark and Ireland now record more than three times as many confirmed cases. Some of the reported increases over time could be the result of improved national surveillance systems and use of more sensitive tests.</w:t>
      </w:r>
    </w:p>
    <w:p w14:paraId="040610A6" w14:textId="77777777" w:rsidR="007C331B" w:rsidRPr="007C331B" w:rsidRDefault="007C331B" w:rsidP="007C331B">
      <w:pPr>
        <w:spacing w:after="150"/>
        <w:rPr>
          <w:rFonts w:ascii="Helvetica Neue" w:eastAsia="Times New Roman" w:hAnsi="Helvetica Neue" w:cs="Times New Roman"/>
          <w:color w:val="333333"/>
        </w:rPr>
      </w:pPr>
      <w:r w:rsidRPr="008F7D63">
        <w:rPr>
          <w:rFonts w:ascii="Helvetica Neue" w:eastAsia="Times New Roman" w:hAnsi="Helvetica Neue" w:cs="Times New Roman"/>
          <w:color w:val="333333"/>
          <w:highlight w:val="darkGray"/>
        </w:rPr>
        <w:t xml:space="preserve">After a small drop in 2016, </w:t>
      </w:r>
      <w:proofErr w:type="spellStart"/>
      <w:r w:rsidRPr="008F7D63">
        <w:rPr>
          <w:rFonts w:ascii="Helvetica Neue" w:eastAsia="Times New Roman" w:hAnsi="Helvetica Neue" w:cs="Times New Roman"/>
          <w:color w:val="333333"/>
          <w:highlight w:val="darkGray"/>
        </w:rPr>
        <w:t>gonorrhoea</w:t>
      </w:r>
      <w:proofErr w:type="spellEnd"/>
      <w:r w:rsidRPr="008F7D63">
        <w:rPr>
          <w:rFonts w:ascii="Helvetica Neue" w:eastAsia="Times New Roman" w:hAnsi="Helvetica Neue" w:cs="Times New Roman"/>
          <w:color w:val="333333"/>
          <w:highlight w:val="darkGray"/>
        </w:rPr>
        <w:t xml:space="preserve"> notifications were on the rise again in the majority of the 27 reporting countries in 2017. Some countries noted striking year-on-year increases of more than 40% like Finland and Sweden.</w:t>
      </w:r>
    </w:p>
    <w:p w14:paraId="77B96FD7" w14:textId="77777777" w:rsidR="007C331B" w:rsidRPr="007C331B" w:rsidRDefault="007C331B" w:rsidP="007C331B">
      <w:pPr>
        <w:shd w:val="clear" w:color="auto" w:fill="EEEEEE"/>
        <w:jc w:val="both"/>
        <w:rPr>
          <w:rFonts w:ascii="Helvetica Neue" w:eastAsia="Times New Roman" w:hAnsi="Helvetica Neue" w:cs="Times New Roman"/>
          <w:color w:val="333333"/>
        </w:rPr>
      </w:pPr>
      <w:r w:rsidRPr="007C331B">
        <w:rPr>
          <w:rFonts w:ascii="Helvetica Neue" w:eastAsia="Times New Roman" w:hAnsi="Helvetica Neue" w:cs="Times New Roman"/>
          <w:color w:val="333333"/>
        </w:rPr>
        <w:t xml:space="preserve">“One thing the constantly high rate of reported </w:t>
      </w:r>
      <w:proofErr w:type="spellStart"/>
      <w:r w:rsidRPr="007C331B">
        <w:rPr>
          <w:rFonts w:ascii="Helvetica Neue" w:eastAsia="Times New Roman" w:hAnsi="Helvetica Neue" w:cs="Times New Roman"/>
          <w:color w:val="333333"/>
        </w:rPr>
        <w:t>gonorrhoea</w:t>
      </w:r>
      <w:proofErr w:type="spellEnd"/>
      <w:r w:rsidRPr="007C331B">
        <w:rPr>
          <w:rFonts w:ascii="Helvetica Neue" w:eastAsia="Times New Roman" w:hAnsi="Helvetica Neue" w:cs="Times New Roman"/>
          <w:color w:val="333333"/>
        </w:rPr>
        <w:t xml:space="preserve"> cases in Europe tells us, </w:t>
      </w:r>
      <w:proofErr w:type="gramStart"/>
      <w:r w:rsidRPr="007C331B">
        <w:rPr>
          <w:rFonts w:ascii="Helvetica Neue" w:eastAsia="Times New Roman" w:hAnsi="Helvetica Neue" w:cs="Times New Roman"/>
          <w:color w:val="333333"/>
        </w:rPr>
        <w:t>is  that</w:t>
      </w:r>
      <w:proofErr w:type="gramEnd"/>
      <w:r w:rsidRPr="007C331B">
        <w:rPr>
          <w:rFonts w:ascii="Helvetica Neue" w:eastAsia="Times New Roman" w:hAnsi="Helvetica Neue" w:cs="Times New Roman"/>
          <w:color w:val="333333"/>
        </w:rPr>
        <w:t xml:space="preserve"> people keep having sex with new and casual partners without condoms. Which makes it easy to pass on an infection that is increasingly resistant to the common antibiotic treatment options. If you are at risk, make sure to get tested regularly”, highlights ECDC expert Gianfranco Spiteri.</w:t>
      </w:r>
    </w:p>
    <w:p w14:paraId="20048C82" w14:textId="77777777" w:rsidR="007C331B" w:rsidRPr="007C331B" w:rsidRDefault="007C331B" w:rsidP="007C331B">
      <w:pPr>
        <w:spacing w:after="150"/>
        <w:rPr>
          <w:rFonts w:ascii="Helvetica Neue" w:eastAsia="Times New Roman" w:hAnsi="Helvetica Neue" w:cs="Times New Roman"/>
          <w:color w:val="333333"/>
        </w:rPr>
      </w:pPr>
      <w:bookmarkStart w:id="0" w:name="_GoBack"/>
      <w:r w:rsidRPr="007C331B">
        <w:rPr>
          <w:rFonts w:ascii="Helvetica Neue" w:eastAsia="Times New Roman" w:hAnsi="Helvetica Neue" w:cs="Times New Roman"/>
          <w:color w:val="333333"/>
        </w:rPr>
        <w:t>Earlier this year, </w:t>
      </w:r>
      <w:hyperlink r:id="rId8" w:tgtFrame="_blank" w:history="1">
        <w:r w:rsidRPr="007C331B">
          <w:rPr>
            <w:rFonts w:ascii="Helvetica Neue" w:eastAsia="Times New Roman" w:hAnsi="Helvetica Neue" w:cs="Times New Roman"/>
            <w:color w:val="67B00A"/>
            <w:u w:val="single"/>
          </w:rPr>
          <w:t xml:space="preserve">results from ECDC’s sentinel European Gonococcal Antimicrobial Surveillance </w:t>
        </w:r>
        <w:proofErr w:type="spellStart"/>
        <w:r w:rsidRPr="007C331B">
          <w:rPr>
            <w:rFonts w:ascii="Helvetica Neue" w:eastAsia="Times New Roman" w:hAnsi="Helvetica Neue" w:cs="Times New Roman"/>
            <w:color w:val="67B00A"/>
            <w:u w:val="single"/>
          </w:rPr>
          <w:t>Programme</w:t>
        </w:r>
      </w:hyperlink>
      <w:r w:rsidRPr="007C331B">
        <w:rPr>
          <w:rFonts w:ascii="Helvetica Neue" w:eastAsia="Times New Roman" w:hAnsi="Helvetica Neue" w:cs="Times New Roman"/>
          <w:color w:val="333333"/>
        </w:rPr>
        <w:t>showed</w:t>
      </w:r>
      <w:proofErr w:type="spellEnd"/>
      <w:r w:rsidRPr="007C331B">
        <w:rPr>
          <w:rFonts w:ascii="Helvetica Neue" w:eastAsia="Times New Roman" w:hAnsi="Helvetica Neue" w:cs="Times New Roman"/>
          <w:color w:val="333333"/>
        </w:rPr>
        <w:t xml:space="preserve"> a persistent level of resistance of </w:t>
      </w:r>
      <w:r w:rsidRPr="007C331B">
        <w:rPr>
          <w:rFonts w:ascii="Helvetica Neue" w:eastAsia="Times New Roman" w:hAnsi="Helvetica Neue" w:cs="Times New Roman"/>
          <w:i/>
          <w:iCs/>
          <w:color w:val="333333"/>
        </w:rPr>
        <w:t>Neisseria gonorrhoeae</w:t>
      </w:r>
      <w:r w:rsidRPr="007C331B">
        <w:rPr>
          <w:rFonts w:ascii="Helvetica Neue" w:eastAsia="Times New Roman" w:hAnsi="Helvetica Neue" w:cs="Times New Roman"/>
          <w:color w:val="333333"/>
        </w:rPr>
        <w:t> to azithromycin, which compromises the recommended dual therapy with ceftriaxone and azithromycin.</w:t>
      </w:r>
    </w:p>
    <w:bookmarkEnd w:id="0"/>
    <w:p w14:paraId="698F2560" w14:textId="77777777" w:rsidR="007C331B" w:rsidRPr="007C331B" w:rsidRDefault="007C331B" w:rsidP="007C331B">
      <w:pPr>
        <w:spacing w:after="150"/>
        <w:rPr>
          <w:rFonts w:ascii="Helvetica Neue" w:eastAsia="Times New Roman" w:hAnsi="Helvetica Neue" w:cs="Times New Roman"/>
          <w:color w:val="333333"/>
        </w:rPr>
      </w:pPr>
      <w:r w:rsidRPr="008F7D63">
        <w:rPr>
          <w:rFonts w:ascii="Helvetica Neue" w:eastAsia="Times New Roman" w:hAnsi="Helvetica Neue" w:cs="Times New Roman"/>
          <w:color w:val="333333"/>
          <w:highlight w:val="darkGray"/>
        </w:rPr>
        <w:t xml:space="preserve">Men who have sex with men (MSM) accounted for almost half of the </w:t>
      </w:r>
      <w:proofErr w:type="spellStart"/>
      <w:r w:rsidRPr="008F7D63">
        <w:rPr>
          <w:rFonts w:ascii="Helvetica Neue" w:eastAsia="Times New Roman" w:hAnsi="Helvetica Neue" w:cs="Times New Roman"/>
          <w:color w:val="333333"/>
          <w:highlight w:val="darkGray"/>
        </w:rPr>
        <w:t>gonorrhoea</w:t>
      </w:r>
      <w:proofErr w:type="spellEnd"/>
      <w:r w:rsidRPr="008F7D63">
        <w:rPr>
          <w:rFonts w:ascii="Helvetica Neue" w:eastAsia="Times New Roman" w:hAnsi="Helvetica Neue" w:cs="Times New Roman"/>
          <w:color w:val="333333"/>
          <w:highlight w:val="darkGray"/>
        </w:rPr>
        <w:t xml:space="preserve"> cases (47%) in 2017. The rise in notified cases among women between 2016 and 2017 (from 9.5 to 11 per 100 000 population) is concerning as untreated </w:t>
      </w:r>
      <w:proofErr w:type="spellStart"/>
      <w:r w:rsidRPr="008F7D63">
        <w:rPr>
          <w:rFonts w:ascii="Helvetica Neue" w:eastAsia="Times New Roman" w:hAnsi="Helvetica Neue" w:cs="Times New Roman"/>
          <w:color w:val="333333"/>
          <w:highlight w:val="darkGray"/>
        </w:rPr>
        <w:t>gonorrhoea</w:t>
      </w:r>
      <w:proofErr w:type="spellEnd"/>
      <w:r w:rsidRPr="008F7D63">
        <w:rPr>
          <w:rFonts w:ascii="Helvetica Neue" w:eastAsia="Times New Roman" w:hAnsi="Helvetica Neue" w:cs="Times New Roman"/>
          <w:color w:val="333333"/>
          <w:highlight w:val="darkGray"/>
        </w:rPr>
        <w:t xml:space="preserve"> can lead to pelvic inflammatory disease or cause infertility.</w:t>
      </w:r>
    </w:p>
    <w:p w14:paraId="3399BF06" w14:textId="77777777" w:rsidR="007C331B" w:rsidRPr="007C331B" w:rsidRDefault="007C331B" w:rsidP="007C331B">
      <w:pPr>
        <w:shd w:val="clear" w:color="auto" w:fill="EEEEEE"/>
        <w:jc w:val="both"/>
        <w:rPr>
          <w:rFonts w:ascii="Helvetica Neue" w:eastAsia="Times New Roman" w:hAnsi="Helvetica Neue" w:cs="Times New Roman"/>
          <w:color w:val="333333"/>
        </w:rPr>
      </w:pPr>
      <w:r w:rsidRPr="007C331B">
        <w:rPr>
          <w:rFonts w:ascii="Helvetica Neue" w:eastAsia="Times New Roman" w:hAnsi="Helvetica Neue" w:cs="Times New Roman"/>
          <w:color w:val="333333"/>
        </w:rPr>
        <w:t xml:space="preserve">“We have to also bear in mind that the numbers we see do not even show the true extent of the </w:t>
      </w:r>
      <w:proofErr w:type="spellStart"/>
      <w:r w:rsidRPr="007C331B">
        <w:rPr>
          <w:rFonts w:ascii="Helvetica Neue" w:eastAsia="Times New Roman" w:hAnsi="Helvetica Neue" w:cs="Times New Roman"/>
          <w:color w:val="333333"/>
        </w:rPr>
        <w:t>gonorrhoea</w:t>
      </w:r>
      <w:proofErr w:type="spellEnd"/>
      <w:r w:rsidRPr="007C331B">
        <w:rPr>
          <w:rFonts w:ascii="Helvetica Neue" w:eastAsia="Times New Roman" w:hAnsi="Helvetica Neue" w:cs="Times New Roman"/>
          <w:color w:val="333333"/>
        </w:rPr>
        <w:t xml:space="preserve"> epidemic in Europe. Many infections are not diagnosed due to lack of symptoms or limited access to diagnostics or simply are not reported”, Spiteri continues.</w:t>
      </w:r>
    </w:p>
    <w:p w14:paraId="2C421948" w14:textId="77777777" w:rsidR="007C331B" w:rsidRPr="007C331B" w:rsidRDefault="007C331B" w:rsidP="007C331B">
      <w:pPr>
        <w:spacing w:after="150"/>
        <w:rPr>
          <w:rFonts w:ascii="Helvetica Neue" w:eastAsia="Times New Roman" w:hAnsi="Helvetica Neue" w:cs="Times New Roman"/>
          <w:color w:val="333333"/>
        </w:rPr>
      </w:pPr>
      <w:r w:rsidRPr="008F7D63">
        <w:rPr>
          <w:rFonts w:ascii="Helvetica Neue" w:eastAsia="Times New Roman" w:hAnsi="Helvetica Neue" w:cs="Times New Roman"/>
          <w:color w:val="333333"/>
          <w:highlight w:val="darkGray"/>
        </w:rPr>
        <w:t xml:space="preserve">Correspondingly, rates of reported </w:t>
      </w:r>
      <w:proofErr w:type="spellStart"/>
      <w:r w:rsidRPr="008F7D63">
        <w:rPr>
          <w:rFonts w:ascii="Helvetica Neue" w:eastAsia="Times New Roman" w:hAnsi="Helvetica Neue" w:cs="Times New Roman"/>
          <w:color w:val="333333"/>
          <w:highlight w:val="darkGray"/>
        </w:rPr>
        <w:t>gonorrhoea</w:t>
      </w:r>
      <w:proofErr w:type="spellEnd"/>
      <w:r w:rsidRPr="008F7D63">
        <w:rPr>
          <w:rFonts w:ascii="Helvetica Neue" w:eastAsia="Times New Roman" w:hAnsi="Helvetica Neue" w:cs="Times New Roman"/>
          <w:color w:val="333333"/>
          <w:highlight w:val="darkGray"/>
        </w:rPr>
        <w:t xml:space="preserve"> infection vary considerably across Europe from below 1 to 75 cases per 100 000 population, with higher rates in northern Europe. While this variation could be linked to real differences in incidence of gonococcal infection, they are likely influenced by different testing policies and methods, healthcare systems and access to services as well as reporting and surveillance system structures.</w:t>
      </w:r>
    </w:p>
    <w:p w14:paraId="7ED0994C" w14:textId="77777777" w:rsidR="007C331B" w:rsidRPr="007C331B" w:rsidRDefault="007C331B" w:rsidP="007C331B">
      <w:pPr>
        <w:rPr>
          <w:rFonts w:ascii="Helvetica Neue" w:eastAsia="Times New Roman" w:hAnsi="Helvetica Neue" w:cs="Times New Roman"/>
          <w:color w:val="333333"/>
        </w:rPr>
      </w:pPr>
      <w:r w:rsidRPr="008F7D63">
        <w:rPr>
          <w:rFonts w:ascii="Helvetica Neue" w:eastAsia="Times New Roman" w:hAnsi="Helvetica Neue" w:cs="Times New Roman"/>
          <w:color w:val="333333"/>
          <w:highlight w:val="darkGray"/>
        </w:rPr>
        <w:lastRenderedPageBreak/>
        <w:t xml:space="preserve">With 558 155 confirmed cases between 2008 and 2017, </w:t>
      </w:r>
      <w:proofErr w:type="spellStart"/>
      <w:r w:rsidRPr="008F7D63">
        <w:rPr>
          <w:rFonts w:ascii="Helvetica Neue" w:eastAsia="Times New Roman" w:hAnsi="Helvetica Neue" w:cs="Times New Roman"/>
          <w:color w:val="333333"/>
          <w:highlight w:val="darkGray"/>
        </w:rPr>
        <w:t>gonorrhoea</w:t>
      </w:r>
      <w:proofErr w:type="spellEnd"/>
      <w:r w:rsidRPr="008F7D63">
        <w:rPr>
          <w:rFonts w:ascii="Helvetica Neue" w:eastAsia="Times New Roman" w:hAnsi="Helvetica Neue" w:cs="Times New Roman"/>
          <w:color w:val="333333"/>
          <w:highlight w:val="darkGray"/>
        </w:rPr>
        <w:t xml:space="preserve"> is the second most notified sexually transmitted infection in the EU/EEA after chlamydia (3 826 299 cases during the same time period).</w:t>
      </w:r>
    </w:p>
    <w:p w14:paraId="1AB0BC8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A20"/>
    <w:rsid w:val="00453EED"/>
    <w:rsid w:val="007C331B"/>
    <w:rsid w:val="008F7D63"/>
    <w:rsid w:val="00BE080D"/>
    <w:rsid w:val="00C0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02B10"/>
  <w14:defaultImageDpi w14:val="32767"/>
  <w15:chartTrackingRefBased/>
  <w15:docId w15:val="{82F4E7FF-9840-C641-B790-32ECEE9D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C331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31B"/>
    <w:rPr>
      <w:rFonts w:ascii="Times New Roman" w:eastAsia="Times New Roman" w:hAnsi="Times New Roman" w:cs="Times New Roman"/>
      <w:b/>
      <w:bCs/>
      <w:kern w:val="36"/>
      <w:sz w:val="48"/>
      <w:szCs w:val="48"/>
    </w:rPr>
  </w:style>
  <w:style w:type="character" w:customStyle="1" w:styleId="label">
    <w:name w:val="label"/>
    <w:basedOn w:val="DefaultParagraphFont"/>
    <w:rsid w:val="007C331B"/>
  </w:style>
  <w:style w:type="character" w:customStyle="1" w:styleId="ctmetavalue">
    <w:name w:val="ct__meta__value"/>
    <w:basedOn w:val="DefaultParagraphFont"/>
    <w:rsid w:val="007C331B"/>
  </w:style>
  <w:style w:type="character" w:styleId="Hyperlink">
    <w:name w:val="Hyperlink"/>
    <w:basedOn w:val="DefaultParagraphFont"/>
    <w:uiPriority w:val="99"/>
    <w:semiHidden/>
    <w:unhideWhenUsed/>
    <w:rsid w:val="007C331B"/>
    <w:rPr>
      <w:color w:val="0000FF"/>
      <w:u w:val="single"/>
    </w:rPr>
  </w:style>
  <w:style w:type="character" w:customStyle="1" w:styleId="sr-only">
    <w:name w:val="sr-only"/>
    <w:basedOn w:val="DefaultParagraphFont"/>
    <w:rsid w:val="007C331B"/>
  </w:style>
  <w:style w:type="paragraph" w:customStyle="1" w:styleId="ctpage-description">
    <w:name w:val="ct__page-description"/>
    <w:basedOn w:val="Normal"/>
    <w:rsid w:val="007C331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C331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C331B"/>
  </w:style>
  <w:style w:type="character" w:styleId="Emphasis">
    <w:name w:val="Emphasis"/>
    <w:basedOn w:val="DefaultParagraphFont"/>
    <w:uiPriority w:val="20"/>
    <w:qFormat/>
    <w:rsid w:val="007C33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620758">
      <w:bodyDiv w:val="1"/>
      <w:marLeft w:val="0"/>
      <w:marRight w:val="0"/>
      <w:marTop w:val="0"/>
      <w:marBottom w:val="0"/>
      <w:divBdr>
        <w:top w:val="none" w:sz="0" w:space="0" w:color="auto"/>
        <w:left w:val="none" w:sz="0" w:space="0" w:color="auto"/>
        <w:bottom w:val="none" w:sz="0" w:space="0" w:color="auto"/>
        <w:right w:val="none" w:sz="0" w:space="0" w:color="auto"/>
      </w:divBdr>
      <w:divsChild>
        <w:div w:id="1844465765">
          <w:marLeft w:val="0"/>
          <w:marRight w:val="0"/>
          <w:marTop w:val="0"/>
          <w:marBottom w:val="343"/>
          <w:divBdr>
            <w:top w:val="none" w:sz="0" w:space="0" w:color="auto"/>
            <w:left w:val="none" w:sz="0" w:space="0" w:color="auto"/>
            <w:bottom w:val="none" w:sz="0" w:space="0" w:color="auto"/>
            <w:right w:val="none" w:sz="0" w:space="0" w:color="auto"/>
          </w:divBdr>
          <w:divsChild>
            <w:div w:id="682365642">
              <w:marLeft w:val="0"/>
              <w:marRight w:val="0"/>
              <w:marTop w:val="0"/>
              <w:marBottom w:val="0"/>
              <w:divBdr>
                <w:top w:val="none" w:sz="0" w:space="0" w:color="auto"/>
                <w:left w:val="none" w:sz="0" w:space="0" w:color="auto"/>
                <w:bottom w:val="none" w:sz="0" w:space="0" w:color="auto"/>
                <w:right w:val="none" w:sz="0" w:space="0" w:color="auto"/>
              </w:divBdr>
            </w:div>
          </w:divsChild>
        </w:div>
        <w:div w:id="1731341855">
          <w:marLeft w:val="0"/>
          <w:marRight w:val="0"/>
          <w:marTop w:val="0"/>
          <w:marBottom w:val="0"/>
          <w:divBdr>
            <w:top w:val="none" w:sz="0" w:space="0" w:color="auto"/>
            <w:left w:val="none" w:sz="0" w:space="0" w:color="auto"/>
            <w:bottom w:val="none" w:sz="0" w:space="0" w:color="auto"/>
            <w:right w:val="none" w:sz="0" w:space="0" w:color="auto"/>
          </w:divBdr>
          <w:divsChild>
            <w:div w:id="1367562903">
              <w:marLeft w:val="0"/>
              <w:marRight w:val="0"/>
              <w:marTop w:val="0"/>
              <w:marBottom w:val="343"/>
              <w:divBdr>
                <w:top w:val="none" w:sz="0" w:space="0" w:color="auto"/>
                <w:left w:val="none" w:sz="0" w:space="0" w:color="auto"/>
                <w:bottom w:val="none" w:sz="0" w:space="0" w:color="auto"/>
                <w:right w:val="none" w:sz="0" w:space="0" w:color="auto"/>
              </w:divBdr>
            </w:div>
          </w:divsChild>
        </w:div>
        <w:div w:id="1871332945">
          <w:marLeft w:val="0"/>
          <w:marRight w:val="0"/>
          <w:marTop w:val="0"/>
          <w:marBottom w:val="0"/>
          <w:divBdr>
            <w:top w:val="none" w:sz="0" w:space="0" w:color="auto"/>
            <w:left w:val="none" w:sz="0" w:space="0" w:color="auto"/>
            <w:bottom w:val="none" w:sz="0" w:space="0" w:color="auto"/>
            <w:right w:val="none" w:sz="0" w:space="0" w:color="auto"/>
          </w:divBdr>
          <w:divsChild>
            <w:div w:id="638924363">
              <w:marLeft w:val="0"/>
              <w:marRight w:val="0"/>
              <w:marTop w:val="0"/>
              <w:marBottom w:val="0"/>
              <w:divBdr>
                <w:top w:val="none" w:sz="0" w:space="0" w:color="auto"/>
                <w:left w:val="none" w:sz="0" w:space="0" w:color="auto"/>
                <w:bottom w:val="none" w:sz="0" w:space="0" w:color="auto"/>
                <w:right w:val="none" w:sz="0" w:space="0" w:color="auto"/>
              </w:divBdr>
              <w:divsChild>
                <w:div w:id="178351489">
                  <w:marLeft w:val="0"/>
                  <w:marRight w:val="0"/>
                  <w:marTop w:val="0"/>
                  <w:marBottom w:val="343"/>
                  <w:divBdr>
                    <w:top w:val="none" w:sz="0" w:space="0" w:color="auto"/>
                    <w:left w:val="none" w:sz="0" w:space="0" w:color="auto"/>
                    <w:bottom w:val="none" w:sz="0" w:space="0" w:color="auto"/>
                    <w:right w:val="none" w:sz="0" w:space="0" w:color="auto"/>
                  </w:divBdr>
                  <w:divsChild>
                    <w:div w:id="1914851360">
                      <w:marLeft w:val="0"/>
                      <w:marRight w:val="0"/>
                      <w:marTop w:val="0"/>
                      <w:marBottom w:val="0"/>
                      <w:divBdr>
                        <w:top w:val="none" w:sz="0" w:space="0" w:color="auto"/>
                        <w:left w:val="none" w:sz="0" w:space="0" w:color="auto"/>
                        <w:bottom w:val="none" w:sz="0" w:space="0" w:color="auto"/>
                        <w:right w:val="none" w:sz="0" w:space="0" w:color="auto"/>
                      </w:divBdr>
                      <w:divsChild>
                        <w:div w:id="359011409">
                          <w:marLeft w:val="0"/>
                          <w:marRight w:val="0"/>
                          <w:marTop w:val="0"/>
                          <w:marBottom w:val="0"/>
                          <w:divBdr>
                            <w:top w:val="none" w:sz="0" w:space="0" w:color="auto"/>
                            <w:left w:val="none" w:sz="0" w:space="0" w:color="auto"/>
                            <w:bottom w:val="none" w:sz="0" w:space="0" w:color="auto"/>
                            <w:right w:val="none" w:sz="0" w:space="0" w:color="auto"/>
                          </w:divBdr>
                          <w:divsChild>
                            <w:div w:id="1815945258">
                              <w:blockQuote w:val="1"/>
                              <w:marLeft w:val="0"/>
                              <w:marRight w:val="0"/>
                              <w:marTop w:val="0"/>
                              <w:marBottom w:val="171"/>
                              <w:divBdr>
                                <w:top w:val="none" w:sz="0" w:space="0" w:color="auto"/>
                                <w:left w:val="none" w:sz="0" w:space="0" w:color="auto"/>
                                <w:bottom w:val="none" w:sz="0" w:space="0" w:color="auto"/>
                                <w:right w:val="none" w:sz="0" w:space="0" w:color="auto"/>
                              </w:divBdr>
                            </w:div>
                            <w:div w:id="2119594396">
                              <w:blockQuote w:val="1"/>
                              <w:marLeft w:val="0"/>
                              <w:marRight w:val="0"/>
                              <w:marTop w:val="0"/>
                              <w:marBottom w:val="17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EuroGASP_17" TargetMode="External"/><Relationship Id="rId3" Type="http://schemas.openxmlformats.org/officeDocument/2006/relationships/webSettings" Target="webSettings.xml"/><Relationship Id="rId7" Type="http://schemas.openxmlformats.org/officeDocument/2006/relationships/hyperlink" Target="mailto:?subject=Gonorrhoea%20cases%20on%20the%20rise%20across%20Europe&amp;body=https%3A//www.ecdc.europa.eu/en/news-events/gonorrhoea-cases-rise-across-euro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gonorrhoea-cases-rise-across-europe&amp;title=Gonorrhoea%20cases%20on%20the%20rise%20across%20Europe" TargetMode="External"/><Relationship Id="rId5" Type="http://schemas.openxmlformats.org/officeDocument/2006/relationships/hyperlink" Target="https://www.facebook.com/sharer/sharer.php?u=https%3A//www.ecdc.europa.eu/en/news-events/gonorrhoea-cases-rise-across-europe&amp;t=Gonorrhoea%20cases%20on%20the%20rise%20across%20Europe" TargetMode="External"/><Relationship Id="rId10" Type="http://schemas.openxmlformats.org/officeDocument/2006/relationships/theme" Target="theme/theme1.xml"/><Relationship Id="rId4" Type="http://schemas.openxmlformats.org/officeDocument/2006/relationships/hyperlink" Target="https://twitter.com/share?url=https%3A//www.ecdc.europa.eu/en/news-events/gonorrhoea-cases-rise-across-europe&amp;text=Gonorrhoea%20cases%20on%20the%20rise%20across%20Europ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2020-02-17T09:54:00Z</dcterms:created>
  <dcterms:modified xsi:type="dcterms:W3CDTF">2020-04-13T14:09:00Z</dcterms:modified>
</cp:coreProperties>
</file>