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D6DD" w14:textId="77777777" w:rsidR="009A4288" w:rsidRPr="009A4288" w:rsidRDefault="009A4288" w:rsidP="009A4288">
      <w:pPr>
        <w:pBdr>
          <w:bottom w:val="single" w:sz="18" w:space="0" w:color="7CBDC1"/>
        </w:pBdr>
        <w:spacing w:after="150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</w:pPr>
      <w:r w:rsidRPr="009A4288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>Strong laboratory leaders - a key asset for global disease control</w:t>
      </w:r>
    </w:p>
    <w:p w14:paraId="2E6BA9B0" w14:textId="77777777" w:rsidR="009A4288" w:rsidRPr="009A4288" w:rsidRDefault="009A4288" w:rsidP="009A4288">
      <w:pPr>
        <w:rPr>
          <w:rFonts w:ascii="Helvetica Neue" w:eastAsia="Times New Roman" w:hAnsi="Helvetica Neue" w:cs="Times New Roman"/>
          <w:color w:val="999999"/>
        </w:rPr>
      </w:pPr>
      <w:r w:rsidRPr="009A4288"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shd w:val="clear" w:color="auto" w:fill="777777"/>
        </w:rPr>
        <w:t>News story</w:t>
      </w:r>
    </w:p>
    <w:p w14:paraId="735990C3" w14:textId="77777777" w:rsidR="009A4288" w:rsidRPr="009A4288" w:rsidRDefault="009A4288" w:rsidP="009A4288">
      <w:pPr>
        <w:rPr>
          <w:rFonts w:ascii="Helvetica Neue" w:eastAsia="Times New Roman" w:hAnsi="Helvetica Neue" w:cs="Times New Roman"/>
          <w:color w:val="999999"/>
        </w:rPr>
      </w:pPr>
      <w:r w:rsidRPr="009A4288">
        <w:rPr>
          <w:rFonts w:ascii="Helvetica Neue" w:eastAsia="Times New Roman" w:hAnsi="Helvetica Neue" w:cs="Times New Roman"/>
          <w:color w:val="999999"/>
        </w:rPr>
        <w:t>28 Mar 2019</w:t>
      </w:r>
    </w:p>
    <w:p w14:paraId="4E138226" w14:textId="77777777" w:rsidR="009A4288" w:rsidRPr="009A4288" w:rsidRDefault="009A0D74" w:rsidP="009A4288">
      <w:pPr>
        <w:rPr>
          <w:rFonts w:ascii="Helvetica Neue" w:eastAsia="Times New Roman" w:hAnsi="Helvetica Neue" w:cs="Times New Roman"/>
          <w:color w:val="333333"/>
        </w:rPr>
      </w:pPr>
      <w:hyperlink r:id="rId5" w:tgtFrame="_blank" w:history="1">
        <w:proofErr w:type="spellStart"/>
        <w:r w:rsidR="009A4288" w:rsidRPr="009A4288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ACED"/>
          </w:rPr>
          <w:t>Twitter</w:t>
        </w:r>
      </w:hyperlink>
      <w:hyperlink r:id="rId6" w:tgtFrame="_blank" w:history="1">
        <w:r w:rsidR="009A4288" w:rsidRPr="009A4288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3B5998"/>
          </w:rPr>
          <w:t>Facebook</w:t>
        </w:r>
      </w:hyperlink>
      <w:hyperlink r:id="rId7" w:tgtFrame="_blank" w:history="1">
        <w:r w:rsidR="009A4288" w:rsidRPr="009A4288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>Linked</w:t>
        </w:r>
        <w:proofErr w:type="spellEnd"/>
        <w:r w:rsidR="009A4288" w:rsidRPr="009A4288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 xml:space="preserve"> In</w:t>
        </w:r>
      </w:hyperlink>
      <w:hyperlink r:id="rId8" w:history="1">
        <w:r w:rsidR="009A4288" w:rsidRPr="009A4288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FF6C4C"/>
          </w:rPr>
          <w:t>Mail</w:t>
        </w:r>
      </w:hyperlink>
    </w:p>
    <w:p w14:paraId="5D74C8A4" w14:textId="77777777" w:rsidR="009A4288" w:rsidRPr="009A4288" w:rsidRDefault="009A4288" w:rsidP="009A4288">
      <w:pPr>
        <w:shd w:val="clear" w:color="auto" w:fill="F2F8F9"/>
        <w:spacing w:after="343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9A0D7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lightGray"/>
        </w:rPr>
        <w:t xml:space="preserve">Laboratories play an essential role in the detection, diagnosis, prevention and control of diseases. To strengthen this role, ECDC and five partner </w:t>
      </w:r>
      <w:proofErr w:type="spellStart"/>
      <w:r w:rsidRPr="009A0D7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lightGray"/>
        </w:rPr>
        <w:t>organisations</w:t>
      </w:r>
      <w:proofErr w:type="spellEnd"/>
      <w:r w:rsidRPr="009A0D7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lightGray"/>
        </w:rPr>
        <w:t xml:space="preserve"> have developed the Global Laboratory Leadership </w:t>
      </w:r>
      <w:proofErr w:type="spellStart"/>
      <w:r w:rsidRPr="009A0D7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lightGray"/>
        </w:rPr>
        <w:t>Programme</w:t>
      </w:r>
      <w:proofErr w:type="spellEnd"/>
      <w:r w:rsidRPr="009A0D7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lightGray"/>
        </w:rPr>
        <w:t xml:space="preserve"> (GLLP) to support and sustain national laboratory systems under a One Health approach.</w:t>
      </w:r>
    </w:p>
    <w:p w14:paraId="64421770" w14:textId="77777777" w:rsidR="009A4288" w:rsidRPr="009A4288" w:rsidRDefault="009A4288" w:rsidP="009A4288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9A4288">
        <w:rPr>
          <w:rFonts w:ascii="Helvetica Neue" w:eastAsia="Times New Roman" w:hAnsi="Helvetica Neue" w:cs="Times New Roman"/>
          <w:color w:val="333333"/>
        </w:rPr>
        <w:t xml:space="preserve">Reliable laboratory services continue to be limited in many low- and middle-income countries. Although there have been examples of effective laboratory responses to outbreaks, a well-documented number of such events have shown how a lack of robust laboratory systems can impede disease control and prevention efforts. </w:t>
      </w:r>
      <w:r w:rsidRPr="009A0D74">
        <w:rPr>
          <w:rFonts w:ascii="Helvetica Neue" w:eastAsia="Times New Roman" w:hAnsi="Helvetica Neue" w:cs="Times New Roman"/>
          <w:color w:val="333333"/>
          <w:highlight w:val="lightGray"/>
        </w:rPr>
        <w:t xml:space="preserve">To strengthen laboratory systems and address gaps in laboratory leadership competency across sectors, the Global Laboratory Leadership </w:t>
      </w:r>
      <w:proofErr w:type="spellStart"/>
      <w:r w:rsidRPr="009A0D74">
        <w:rPr>
          <w:rFonts w:ascii="Helvetica Neue" w:eastAsia="Times New Roman" w:hAnsi="Helvetica Neue" w:cs="Times New Roman"/>
          <w:color w:val="333333"/>
          <w:highlight w:val="lightGray"/>
        </w:rPr>
        <w:t>Programme</w:t>
      </w:r>
      <w:proofErr w:type="spellEnd"/>
      <w:r w:rsidRPr="009A0D74">
        <w:rPr>
          <w:rFonts w:ascii="Helvetica Neue" w:eastAsia="Times New Roman" w:hAnsi="Helvetica Neue" w:cs="Times New Roman"/>
          <w:color w:val="333333"/>
          <w:highlight w:val="lightGray"/>
        </w:rPr>
        <w:t xml:space="preserve"> (GLLP) was established.</w:t>
      </w:r>
      <w:r w:rsidRPr="009A4288">
        <w:rPr>
          <w:rFonts w:ascii="Helvetica Neue" w:eastAsia="Times New Roman" w:hAnsi="Helvetica Neue" w:cs="Times New Roman"/>
          <w:color w:val="333333"/>
        </w:rPr>
        <w:t xml:space="preserve"> ECDC collaborated with five partners to develop the GLLP:</w:t>
      </w:r>
    </w:p>
    <w:p w14:paraId="568A180D" w14:textId="77777777" w:rsidR="009A4288" w:rsidRPr="009A4288" w:rsidRDefault="009A4288" w:rsidP="009A428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9A4288">
        <w:rPr>
          <w:rFonts w:ascii="Helvetica Neue" w:eastAsia="Times New Roman" w:hAnsi="Helvetica Neue" w:cs="Times New Roman"/>
          <w:color w:val="333333"/>
        </w:rPr>
        <w:t>Association of Public Health Laboratories (APHL)</w:t>
      </w:r>
    </w:p>
    <w:p w14:paraId="0AC987F0" w14:textId="77777777" w:rsidR="009A4288" w:rsidRPr="009A4288" w:rsidRDefault="009A4288" w:rsidP="009A428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9A4288">
        <w:rPr>
          <w:rFonts w:ascii="Helvetica Neue" w:eastAsia="Times New Roman" w:hAnsi="Helvetica Neue" w:cs="Times New Roman"/>
          <w:color w:val="333333"/>
        </w:rPr>
        <w:t>Centers for Disease Control and Prevention (CDC)</w:t>
      </w:r>
    </w:p>
    <w:p w14:paraId="7070B429" w14:textId="77777777" w:rsidR="009A4288" w:rsidRPr="009A4288" w:rsidRDefault="009A4288" w:rsidP="009A428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9A4288">
        <w:rPr>
          <w:rFonts w:ascii="Helvetica Neue" w:eastAsia="Times New Roman" w:hAnsi="Helvetica Neue" w:cs="Times New Roman"/>
          <w:color w:val="333333"/>
        </w:rPr>
        <w:t>Food and Agriculture Organization of the United Nations (FAO)</w:t>
      </w:r>
    </w:p>
    <w:p w14:paraId="2EBC8F04" w14:textId="77777777" w:rsidR="009A4288" w:rsidRPr="009A4288" w:rsidRDefault="009A4288" w:rsidP="009A428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9A4288">
        <w:rPr>
          <w:rFonts w:ascii="Helvetica Neue" w:eastAsia="Times New Roman" w:hAnsi="Helvetica Neue" w:cs="Times New Roman"/>
          <w:color w:val="333333"/>
        </w:rPr>
        <w:t xml:space="preserve">World </w:t>
      </w:r>
      <w:proofErr w:type="spellStart"/>
      <w:r w:rsidRPr="009A4288">
        <w:rPr>
          <w:rFonts w:ascii="Helvetica Neue" w:eastAsia="Times New Roman" w:hAnsi="Helvetica Neue" w:cs="Times New Roman"/>
          <w:color w:val="333333"/>
        </w:rPr>
        <w:t>Organisation</w:t>
      </w:r>
      <w:proofErr w:type="spellEnd"/>
      <w:r w:rsidRPr="009A4288">
        <w:rPr>
          <w:rFonts w:ascii="Helvetica Neue" w:eastAsia="Times New Roman" w:hAnsi="Helvetica Neue" w:cs="Times New Roman"/>
          <w:color w:val="333333"/>
        </w:rPr>
        <w:t xml:space="preserve"> for Animal Health (OIE)</w:t>
      </w:r>
    </w:p>
    <w:p w14:paraId="12C76BB1" w14:textId="77777777" w:rsidR="009A4288" w:rsidRPr="009A4288" w:rsidRDefault="009A4288" w:rsidP="009A428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9A4288">
        <w:rPr>
          <w:rFonts w:ascii="Helvetica Neue" w:eastAsia="Times New Roman" w:hAnsi="Helvetica Neue" w:cs="Times New Roman"/>
          <w:color w:val="333333"/>
        </w:rPr>
        <w:t>World Health Organization (WHO)</w:t>
      </w:r>
    </w:p>
    <w:p w14:paraId="077B139C" w14:textId="77777777" w:rsidR="009A4288" w:rsidRPr="009A0D74" w:rsidRDefault="009A4288" w:rsidP="009A4288">
      <w:pPr>
        <w:spacing w:after="150"/>
        <w:rPr>
          <w:rFonts w:ascii="Helvetica Neue" w:eastAsia="Times New Roman" w:hAnsi="Helvetica Neue" w:cs="Times New Roman"/>
          <w:color w:val="333333"/>
          <w:highlight w:val="lightGray"/>
        </w:rPr>
      </w:pPr>
      <w:bookmarkStart w:id="0" w:name="_GoBack"/>
      <w:bookmarkEnd w:id="0"/>
      <w:r w:rsidRPr="009A0D74">
        <w:rPr>
          <w:rFonts w:ascii="Helvetica Neue" w:eastAsia="Times New Roman" w:hAnsi="Helvetica Neue" w:cs="Times New Roman"/>
          <w:color w:val="333333"/>
          <w:highlight w:val="lightGray"/>
        </w:rPr>
        <w:t>The GLLP targets professionals working in human and animal health laboratories, as well as laboratories with public health functions such as environmental, agricultural, food, chemical and aquatic laboratories.</w:t>
      </w:r>
    </w:p>
    <w:p w14:paraId="17AC04E4" w14:textId="77777777" w:rsidR="009A4288" w:rsidRPr="009A4288" w:rsidRDefault="009A4288" w:rsidP="009A4288">
      <w:pPr>
        <w:rPr>
          <w:rFonts w:ascii="Helvetica Neue" w:eastAsia="Times New Roman" w:hAnsi="Helvetica Neue" w:cs="Times New Roman"/>
          <w:color w:val="333333"/>
        </w:rPr>
      </w:pPr>
      <w:r w:rsidRPr="009A0D74">
        <w:rPr>
          <w:rFonts w:ascii="Helvetica Neue" w:eastAsia="Times New Roman" w:hAnsi="Helvetica Neue" w:cs="Times New Roman"/>
          <w:color w:val="333333"/>
          <w:highlight w:val="lightGray"/>
        </w:rPr>
        <w:t xml:space="preserve">The development of the GLLP represents the first global effort involving input and support from multiple </w:t>
      </w:r>
      <w:proofErr w:type="spellStart"/>
      <w:r w:rsidRPr="009A0D74">
        <w:rPr>
          <w:rFonts w:ascii="Helvetica Neue" w:eastAsia="Times New Roman" w:hAnsi="Helvetica Neue" w:cs="Times New Roman"/>
          <w:color w:val="333333"/>
          <w:highlight w:val="lightGray"/>
        </w:rPr>
        <w:t>organisations</w:t>
      </w:r>
      <w:proofErr w:type="spellEnd"/>
      <w:r w:rsidRPr="009A0D74">
        <w:rPr>
          <w:rFonts w:ascii="Helvetica Neue" w:eastAsia="Times New Roman" w:hAnsi="Helvetica Neue" w:cs="Times New Roman"/>
          <w:color w:val="333333"/>
          <w:highlight w:val="lightGray"/>
        </w:rPr>
        <w:t xml:space="preserve"> and institutions to create a core set of competencies for laboratory leaders working in support of health systems and a related flexible and adaptable learning package.</w:t>
      </w:r>
    </w:p>
    <w:p w14:paraId="5AE2AFB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4DA2"/>
    <w:multiLevelType w:val="multilevel"/>
    <w:tmpl w:val="17B8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6"/>
    <w:rsid w:val="00453EED"/>
    <w:rsid w:val="009A0D74"/>
    <w:rsid w:val="009A4288"/>
    <w:rsid w:val="00BE080D"/>
    <w:rsid w:val="00C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DC083"/>
  <w14:defaultImageDpi w14:val="32767"/>
  <w15:chartTrackingRefBased/>
  <w15:docId w15:val="{B32BFB8C-A1CF-C34C-AC92-E3BF0AF6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2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9A4288"/>
  </w:style>
  <w:style w:type="character" w:customStyle="1" w:styleId="ctmetavalue">
    <w:name w:val="ct__meta__value"/>
    <w:basedOn w:val="DefaultParagraphFont"/>
    <w:rsid w:val="009A4288"/>
  </w:style>
  <w:style w:type="character" w:customStyle="1" w:styleId="sr-only">
    <w:name w:val="sr-only"/>
    <w:basedOn w:val="DefaultParagraphFont"/>
    <w:rsid w:val="009A4288"/>
  </w:style>
  <w:style w:type="paragraph" w:customStyle="1" w:styleId="ctpage-description">
    <w:name w:val="ct__page-description"/>
    <w:basedOn w:val="Normal"/>
    <w:rsid w:val="009A42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42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951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168">
              <w:marLeft w:val="0"/>
              <w:marRight w:val="0"/>
              <w:marTop w:val="0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0197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?subject=Strong%20laboratory%20leaders%20-%20a%20key%20asset%20for%20global%20disease%20control&amp;body=https%3A//www.ecdc.europa.eu/en/news-events/strong-laboratory-leaders-key-asset-global-disease-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shareArticle?mini=1&amp;url=https%3A//www.ecdc.europa.eu/en/news-events/strong-laboratory-leaders-key-asset-global-disease-control&amp;title=Strong%20laboratory%20leaders%20-%20a%20key%20asset%20for%20global%20disease%20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/sharer.php?u=https%3A//www.ecdc.europa.eu/en/news-events/strong-laboratory-leaders-key-asset-global-disease-control&amp;t=Strong%20laboratory%20leaders%20-%20a%20key%20asset%20for%20global%20disease%20control" TargetMode="External"/><Relationship Id="rId5" Type="http://schemas.openxmlformats.org/officeDocument/2006/relationships/hyperlink" Target="https://twitter.com/share?url=https%3A//www.ecdc.europa.eu/en/news-events/strong-laboratory-leaders-key-asset-global-disease-control&amp;text=Strong%20laboratory%20leaders%20-%20a%20key%20asset%20for%20global%20disease%20contr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2020-02-17T09:55:00Z</dcterms:created>
  <dcterms:modified xsi:type="dcterms:W3CDTF">2020-04-13T15:27:00Z</dcterms:modified>
</cp:coreProperties>
</file>