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4A2CA" w14:textId="77777777" w:rsidR="009C7E2B" w:rsidRPr="003923CE" w:rsidRDefault="009C7E2B" w:rsidP="009C7E2B">
      <w:pPr>
        <w:pBdr>
          <w:bottom w:val="single" w:sz="18" w:space="0" w:color="7CBDC1"/>
        </w:pBdr>
        <w:spacing w:after="150"/>
        <w:outlineLvl w:val="0"/>
        <w:rPr>
          <w:rFonts w:ascii="Georgia" w:eastAsia="Times New Roman" w:hAnsi="Georgia" w:cs="Times New Roman"/>
          <w:b/>
          <w:bCs/>
          <w:color w:val="333333"/>
          <w:kern w:val="36"/>
          <w:sz w:val="60"/>
          <w:szCs w:val="60"/>
          <w:highlight w:val="darkGray"/>
        </w:rPr>
      </w:pPr>
      <w:proofErr w:type="spellStart"/>
      <w:r w:rsidRPr="003923CE">
        <w:rPr>
          <w:rFonts w:ascii="Georgia" w:eastAsia="Times New Roman" w:hAnsi="Georgia" w:cs="Times New Roman"/>
          <w:b/>
          <w:bCs/>
          <w:color w:val="333333"/>
          <w:kern w:val="36"/>
          <w:sz w:val="60"/>
          <w:szCs w:val="60"/>
          <w:highlight w:val="darkGray"/>
        </w:rPr>
        <w:t>Gonorrhoea</w:t>
      </w:r>
      <w:proofErr w:type="spellEnd"/>
      <w:r w:rsidRPr="003923CE">
        <w:rPr>
          <w:rFonts w:ascii="Georgia" w:eastAsia="Times New Roman" w:hAnsi="Georgia" w:cs="Times New Roman"/>
          <w:b/>
          <w:bCs/>
          <w:color w:val="333333"/>
          <w:kern w:val="36"/>
          <w:sz w:val="60"/>
          <w:szCs w:val="60"/>
          <w:highlight w:val="darkGray"/>
        </w:rPr>
        <w:t>: drug resistance compromises recommended treatment in Europe </w:t>
      </w:r>
    </w:p>
    <w:p w14:paraId="10C611E0" w14:textId="77777777" w:rsidR="009C7E2B" w:rsidRPr="003923CE" w:rsidRDefault="009C7E2B" w:rsidP="009C7E2B">
      <w:pPr>
        <w:rPr>
          <w:rFonts w:ascii="Helvetica Neue" w:eastAsia="Times New Roman" w:hAnsi="Helvetica Neue" w:cs="Times New Roman"/>
          <w:color w:val="999999"/>
          <w:highlight w:val="darkGray"/>
        </w:rPr>
      </w:pPr>
      <w:r w:rsidRPr="003923CE">
        <w:rPr>
          <w:rFonts w:ascii="Helvetica Neue" w:eastAsia="Times New Roman" w:hAnsi="Helvetica Neue" w:cs="Times New Roman"/>
          <w:b/>
          <w:bCs/>
          <w:color w:val="FFFFFF"/>
          <w:sz w:val="18"/>
          <w:szCs w:val="18"/>
          <w:highlight w:val="darkGray"/>
          <w:shd w:val="clear" w:color="auto" w:fill="777777"/>
        </w:rPr>
        <w:t>News story</w:t>
      </w:r>
    </w:p>
    <w:p w14:paraId="19A886D5" w14:textId="77777777" w:rsidR="009C7E2B" w:rsidRPr="003923CE" w:rsidRDefault="009C7E2B" w:rsidP="009C7E2B">
      <w:pPr>
        <w:rPr>
          <w:rFonts w:ascii="Helvetica Neue" w:eastAsia="Times New Roman" w:hAnsi="Helvetica Neue" w:cs="Times New Roman"/>
          <w:color w:val="999999"/>
          <w:highlight w:val="darkGray"/>
        </w:rPr>
      </w:pPr>
      <w:r w:rsidRPr="003923CE">
        <w:rPr>
          <w:rFonts w:ascii="Helvetica Neue" w:eastAsia="Times New Roman" w:hAnsi="Helvetica Neue" w:cs="Times New Roman"/>
          <w:color w:val="999999"/>
          <w:highlight w:val="darkGray"/>
        </w:rPr>
        <w:t>28 Feb 2019</w:t>
      </w:r>
    </w:p>
    <w:p w14:paraId="714965A7" w14:textId="77777777" w:rsidR="009C7E2B" w:rsidRPr="003923CE" w:rsidRDefault="003923CE" w:rsidP="009C7E2B">
      <w:pPr>
        <w:rPr>
          <w:rFonts w:ascii="Helvetica Neue" w:eastAsia="Times New Roman" w:hAnsi="Helvetica Neue" w:cs="Times New Roman"/>
          <w:color w:val="333333"/>
          <w:highlight w:val="darkGray"/>
        </w:rPr>
      </w:pPr>
      <w:hyperlink r:id="rId4" w:tgtFrame="_blank" w:history="1">
        <w:proofErr w:type="spellStart"/>
        <w:r w:rsidR="009C7E2B" w:rsidRPr="003923CE">
          <w:rPr>
            <w:rFonts w:ascii="Helvetica Neue" w:eastAsia="Times New Roman" w:hAnsi="Helvetica Neue" w:cs="Times New Roman"/>
            <w:color w:val="FFFFFF"/>
            <w:highlight w:val="darkGray"/>
            <w:bdr w:val="none" w:sz="0" w:space="0" w:color="auto" w:frame="1"/>
            <w:shd w:val="clear" w:color="auto" w:fill="00ACED"/>
          </w:rPr>
          <w:t>Twitter</w:t>
        </w:r>
      </w:hyperlink>
      <w:hyperlink r:id="rId5" w:tgtFrame="_blank" w:history="1">
        <w:r w:rsidR="009C7E2B" w:rsidRPr="003923CE">
          <w:rPr>
            <w:rFonts w:ascii="Helvetica Neue" w:eastAsia="Times New Roman" w:hAnsi="Helvetica Neue" w:cs="Times New Roman"/>
            <w:color w:val="FFFFFF"/>
            <w:highlight w:val="darkGray"/>
            <w:bdr w:val="none" w:sz="0" w:space="0" w:color="auto" w:frame="1"/>
            <w:shd w:val="clear" w:color="auto" w:fill="3B5998"/>
          </w:rPr>
          <w:t>Facebook</w:t>
        </w:r>
      </w:hyperlink>
      <w:hyperlink r:id="rId6" w:tgtFrame="_blank" w:history="1">
        <w:r w:rsidR="009C7E2B" w:rsidRPr="003923CE">
          <w:rPr>
            <w:rFonts w:ascii="Helvetica Neue" w:eastAsia="Times New Roman" w:hAnsi="Helvetica Neue" w:cs="Times New Roman"/>
            <w:color w:val="FFFFFF"/>
            <w:highlight w:val="darkGray"/>
            <w:bdr w:val="none" w:sz="0" w:space="0" w:color="auto" w:frame="1"/>
            <w:shd w:val="clear" w:color="auto" w:fill="007BB6"/>
          </w:rPr>
          <w:t>Linked</w:t>
        </w:r>
        <w:proofErr w:type="spellEnd"/>
        <w:r w:rsidR="009C7E2B" w:rsidRPr="003923CE">
          <w:rPr>
            <w:rFonts w:ascii="Helvetica Neue" w:eastAsia="Times New Roman" w:hAnsi="Helvetica Neue" w:cs="Times New Roman"/>
            <w:color w:val="FFFFFF"/>
            <w:highlight w:val="darkGray"/>
            <w:bdr w:val="none" w:sz="0" w:space="0" w:color="auto" w:frame="1"/>
            <w:shd w:val="clear" w:color="auto" w:fill="007BB6"/>
          </w:rPr>
          <w:t xml:space="preserve"> In</w:t>
        </w:r>
      </w:hyperlink>
      <w:hyperlink r:id="rId7" w:history="1">
        <w:r w:rsidR="009C7E2B" w:rsidRPr="003923CE">
          <w:rPr>
            <w:rFonts w:ascii="Helvetica Neue" w:eastAsia="Times New Roman" w:hAnsi="Helvetica Neue" w:cs="Times New Roman"/>
            <w:color w:val="FFFFFF"/>
            <w:highlight w:val="darkGray"/>
            <w:bdr w:val="none" w:sz="0" w:space="0" w:color="auto" w:frame="1"/>
            <w:shd w:val="clear" w:color="auto" w:fill="FF6C4C"/>
          </w:rPr>
          <w:t>Mail</w:t>
        </w:r>
      </w:hyperlink>
    </w:p>
    <w:p w14:paraId="27CDB46D" w14:textId="77777777" w:rsidR="009C7E2B" w:rsidRPr="003923CE" w:rsidRDefault="009C7E2B" w:rsidP="009C7E2B">
      <w:pPr>
        <w:shd w:val="clear" w:color="auto" w:fill="F2F8F9"/>
        <w:spacing w:after="343"/>
        <w:rPr>
          <w:rFonts w:ascii="Helvetica Neue" w:eastAsia="Times New Roman" w:hAnsi="Helvetica Neue" w:cs="Times New Roman"/>
          <w:b/>
          <w:bCs/>
          <w:color w:val="333333"/>
          <w:sz w:val="21"/>
          <w:szCs w:val="21"/>
          <w:highlight w:val="darkGray"/>
        </w:rPr>
      </w:pPr>
      <w:proofErr w:type="spellStart"/>
      <w:r w:rsidRPr="003923CE">
        <w:rPr>
          <w:rFonts w:ascii="Helvetica Neue" w:eastAsia="Times New Roman" w:hAnsi="Helvetica Neue" w:cs="Times New Roman"/>
          <w:b/>
          <w:bCs/>
          <w:color w:val="333333"/>
          <w:sz w:val="21"/>
          <w:szCs w:val="21"/>
          <w:highlight w:val="darkGray"/>
        </w:rPr>
        <w:t>Gonorrhoea</w:t>
      </w:r>
      <w:proofErr w:type="spellEnd"/>
      <w:r w:rsidRPr="003923CE">
        <w:rPr>
          <w:rFonts w:ascii="Helvetica Neue" w:eastAsia="Times New Roman" w:hAnsi="Helvetica Neue" w:cs="Times New Roman"/>
          <w:b/>
          <w:bCs/>
          <w:color w:val="333333"/>
          <w:sz w:val="21"/>
          <w:szCs w:val="21"/>
          <w:highlight w:val="darkGray"/>
        </w:rPr>
        <w:t xml:space="preserve"> is the second most commonly notified sexually transmitted infection across the EU/EEA countries with almost 500 000 reported cases between 2007 and 2016. The infection is </w:t>
      </w:r>
      <w:proofErr w:type="gramStart"/>
      <w:r w:rsidRPr="003923CE">
        <w:rPr>
          <w:rFonts w:ascii="Helvetica Neue" w:eastAsia="Times New Roman" w:hAnsi="Helvetica Neue" w:cs="Times New Roman"/>
          <w:b/>
          <w:bCs/>
          <w:color w:val="333333"/>
          <w:sz w:val="21"/>
          <w:szCs w:val="21"/>
          <w:highlight w:val="darkGray"/>
        </w:rPr>
        <w:t>treatable</w:t>
      </w:r>
      <w:proofErr w:type="gramEnd"/>
      <w:r w:rsidRPr="003923CE">
        <w:rPr>
          <w:rFonts w:ascii="Helvetica Neue" w:eastAsia="Times New Roman" w:hAnsi="Helvetica Neue" w:cs="Times New Roman"/>
          <w:b/>
          <w:bCs/>
          <w:color w:val="333333"/>
          <w:sz w:val="21"/>
          <w:szCs w:val="21"/>
          <w:highlight w:val="darkGray"/>
        </w:rPr>
        <w:t xml:space="preserve"> but Neisseria gonorrhoeae keep showing high levels of azithromycin resistance according to latest results of the European Gonococcal Antimicrobial Surveillance </w:t>
      </w:r>
      <w:proofErr w:type="spellStart"/>
      <w:r w:rsidRPr="003923CE">
        <w:rPr>
          <w:rFonts w:ascii="Helvetica Neue" w:eastAsia="Times New Roman" w:hAnsi="Helvetica Neue" w:cs="Times New Roman"/>
          <w:b/>
          <w:bCs/>
          <w:color w:val="333333"/>
          <w:sz w:val="21"/>
          <w:szCs w:val="21"/>
          <w:highlight w:val="darkGray"/>
        </w:rPr>
        <w:t>Programme</w:t>
      </w:r>
      <w:proofErr w:type="spellEnd"/>
      <w:r w:rsidRPr="003923CE">
        <w:rPr>
          <w:rFonts w:ascii="Helvetica Neue" w:eastAsia="Times New Roman" w:hAnsi="Helvetica Neue" w:cs="Times New Roman"/>
          <w:b/>
          <w:bCs/>
          <w:color w:val="333333"/>
          <w:sz w:val="21"/>
          <w:szCs w:val="21"/>
          <w:highlight w:val="darkGray"/>
        </w:rPr>
        <w:t xml:space="preserve">. This antibiotic agent is part of the currently recommended therapy regimen for </w:t>
      </w:r>
      <w:proofErr w:type="spellStart"/>
      <w:r w:rsidRPr="003923CE">
        <w:rPr>
          <w:rFonts w:ascii="Helvetica Neue" w:eastAsia="Times New Roman" w:hAnsi="Helvetica Neue" w:cs="Times New Roman"/>
          <w:b/>
          <w:bCs/>
          <w:color w:val="333333"/>
          <w:sz w:val="21"/>
          <w:szCs w:val="21"/>
          <w:highlight w:val="darkGray"/>
        </w:rPr>
        <w:t>gonorrhoea</w:t>
      </w:r>
      <w:proofErr w:type="spellEnd"/>
      <w:r w:rsidRPr="003923CE">
        <w:rPr>
          <w:rFonts w:ascii="Helvetica Neue" w:eastAsia="Times New Roman" w:hAnsi="Helvetica Neue" w:cs="Times New Roman"/>
          <w:b/>
          <w:bCs/>
          <w:color w:val="333333"/>
          <w:sz w:val="21"/>
          <w:szCs w:val="21"/>
          <w:highlight w:val="darkGray"/>
        </w:rPr>
        <w:t xml:space="preserve"> and observed resistance patterns threaten its effectiveness. </w:t>
      </w:r>
    </w:p>
    <w:p w14:paraId="198F7DB6" w14:textId="77777777" w:rsidR="009C7E2B" w:rsidRPr="003923CE" w:rsidRDefault="009C7E2B" w:rsidP="009C7E2B">
      <w:pPr>
        <w:spacing w:after="150"/>
        <w:rPr>
          <w:rFonts w:ascii="Helvetica Neue" w:eastAsia="Times New Roman" w:hAnsi="Helvetica Neue" w:cs="Times New Roman"/>
          <w:color w:val="333333"/>
          <w:highlight w:val="darkGray"/>
        </w:rPr>
      </w:pPr>
      <w:r w:rsidRPr="003923CE">
        <w:rPr>
          <w:rFonts w:ascii="Helvetica Neue" w:eastAsia="Times New Roman" w:hAnsi="Helvetica Neue" w:cs="Times New Roman"/>
          <w:color w:val="333333"/>
          <w:highlight w:val="darkGray"/>
        </w:rPr>
        <w:t xml:space="preserve">Each year, countries of the European Union and European Economic Area (EU/EEA) participate in ECDC’s sentinel European Gonococcal Antimicrobial Surveillance </w:t>
      </w:r>
      <w:proofErr w:type="spellStart"/>
      <w:r w:rsidRPr="003923CE">
        <w:rPr>
          <w:rFonts w:ascii="Helvetica Neue" w:eastAsia="Times New Roman" w:hAnsi="Helvetica Neue" w:cs="Times New Roman"/>
          <w:color w:val="333333"/>
          <w:highlight w:val="darkGray"/>
        </w:rPr>
        <w:t>Programme</w:t>
      </w:r>
      <w:proofErr w:type="spellEnd"/>
      <w:r w:rsidRPr="003923CE">
        <w:rPr>
          <w:rFonts w:ascii="Helvetica Neue" w:eastAsia="Times New Roman" w:hAnsi="Helvetica Neue" w:cs="Times New Roman"/>
          <w:color w:val="333333"/>
          <w:highlight w:val="darkGray"/>
        </w:rPr>
        <w:t xml:space="preserve"> (Euro-GASP) to test susceptibility of </w:t>
      </w:r>
      <w:r w:rsidRPr="003923CE">
        <w:rPr>
          <w:rFonts w:ascii="Helvetica Neue" w:eastAsia="Times New Roman" w:hAnsi="Helvetica Neue" w:cs="Times New Roman"/>
          <w:i/>
          <w:iCs/>
          <w:color w:val="333333"/>
          <w:highlight w:val="darkGray"/>
        </w:rPr>
        <w:t>Neisseria gonorrhoeae</w:t>
      </w:r>
      <w:r w:rsidRPr="003923CE">
        <w:rPr>
          <w:rFonts w:ascii="Helvetica Neue" w:eastAsia="Times New Roman" w:hAnsi="Helvetica Neue" w:cs="Times New Roman"/>
          <w:color w:val="333333"/>
          <w:highlight w:val="darkGray"/>
        </w:rPr>
        <w:t xml:space="preserve"> to the antibiotics commonly used for </w:t>
      </w:r>
      <w:proofErr w:type="spellStart"/>
      <w:r w:rsidRPr="003923CE">
        <w:rPr>
          <w:rFonts w:ascii="Helvetica Neue" w:eastAsia="Times New Roman" w:hAnsi="Helvetica Neue" w:cs="Times New Roman"/>
          <w:color w:val="333333"/>
          <w:highlight w:val="darkGray"/>
        </w:rPr>
        <w:t>gonorrhoea</w:t>
      </w:r>
      <w:proofErr w:type="spellEnd"/>
      <w:r w:rsidRPr="003923CE">
        <w:rPr>
          <w:rFonts w:ascii="Helvetica Neue" w:eastAsia="Times New Roman" w:hAnsi="Helvetica Neue" w:cs="Times New Roman"/>
          <w:color w:val="333333"/>
          <w:highlight w:val="darkGray"/>
        </w:rPr>
        <w:t xml:space="preserve"> treatment. This way ECDC monitors the effectiveness of the recommended antibiotic treatment. The 2017 Euro-GASP results indicate that</w:t>
      </w:r>
      <w:r w:rsidRPr="003923CE">
        <w:rPr>
          <w:rFonts w:ascii="Helvetica Neue" w:eastAsia="Times New Roman" w:hAnsi="Helvetica Neue" w:cs="Times New Roman"/>
          <w:b/>
          <w:bCs/>
          <w:color w:val="333333"/>
          <w:highlight w:val="darkGray"/>
        </w:rPr>
        <w:t> </w:t>
      </w:r>
      <w:r w:rsidRPr="003923CE">
        <w:rPr>
          <w:rFonts w:ascii="Helvetica Neue" w:eastAsia="Times New Roman" w:hAnsi="Helvetica Neue" w:cs="Times New Roman"/>
          <w:color w:val="333333"/>
          <w:highlight w:val="darkGray"/>
        </w:rPr>
        <w:t>the rates of resistance to cefixime, ceftriaxone and azithromycin have remained stable when compared to recent years.</w:t>
      </w:r>
    </w:p>
    <w:p w14:paraId="30D666DD" w14:textId="77777777" w:rsidR="009C7E2B" w:rsidRPr="003923CE" w:rsidRDefault="009C7E2B" w:rsidP="009C7E2B">
      <w:pPr>
        <w:spacing w:after="150"/>
        <w:rPr>
          <w:rFonts w:ascii="Helvetica Neue" w:eastAsia="Times New Roman" w:hAnsi="Helvetica Neue" w:cs="Times New Roman"/>
          <w:color w:val="333333"/>
          <w:highlight w:val="darkGray"/>
        </w:rPr>
      </w:pPr>
      <w:r w:rsidRPr="003923CE">
        <w:rPr>
          <w:rFonts w:ascii="Helvetica Neue" w:eastAsia="Times New Roman" w:hAnsi="Helvetica Neue" w:cs="Times New Roman"/>
          <w:color w:val="333333"/>
          <w:highlight w:val="darkGray"/>
        </w:rPr>
        <w:t>In 2017, 27 EU/EEA countries collected and tested 3 248 gonococcal isolates which revealed that cefixime and azithromycin resistance (1.9% and 7.5% respectively) remained unchanged compared to 2016 (2.1% and 7.5%). However, the number of countries reporting resistant isolates for each antimicrobial increased. For the second year in a row, no isolates with resistance to ceftriaxone were detected in contrast to one in 2015, five in 2014 and seven in 2013.</w:t>
      </w:r>
    </w:p>
    <w:p w14:paraId="2C350B85" w14:textId="77777777" w:rsidR="009C7E2B" w:rsidRPr="003923CE" w:rsidRDefault="009C7E2B" w:rsidP="009C7E2B">
      <w:pPr>
        <w:shd w:val="clear" w:color="auto" w:fill="EEEEEE"/>
        <w:jc w:val="both"/>
        <w:rPr>
          <w:rFonts w:ascii="Helvetica Neue" w:eastAsia="Times New Roman" w:hAnsi="Helvetica Neue" w:cs="Times New Roman"/>
          <w:color w:val="333333"/>
          <w:highlight w:val="darkGray"/>
        </w:rPr>
      </w:pPr>
      <w:r w:rsidRPr="003923CE">
        <w:rPr>
          <w:rFonts w:ascii="Helvetica Neue" w:eastAsia="Times New Roman" w:hAnsi="Helvetica Neue" w:cs="Times New Roman"/>
          <w:color w:val="333333"/>
          <w:highlight w:val="darkGray"/>
        </w:rPr>
        <w:t>“The fact that we have not seen ceftriaxone resistance among the tested isolates for two consecutive years is promising. But at the same time, the persistent level of resistance to azithromycin across Europe is a major concern for us because it compromises the recommended dual therapy with ceftriaxone and azithromycin”, explains </w:t>
      </w:r>
      <w:r w:rsidRPr="003923CE">
        <w:rPr>
          <w:rFonts w:ascii="Helvetica Neue" w:eastAsia="Times New Roman" w:hAnsi="Helvetica Neue" w:cs="Times New Roman"/>
          <w:b/>
          <w:bCs/>
          <w:color w:val="333333"/>
          <w:highlight w:val="darkGray"/>
        </w:rPr>
        <w:t>ECDC expert Gianfranco Spiteri</w:t>
      </w:r>
      <w:r w:rsidRPr="003923CE">
        <w:rPr>
          <w:rFonts w:ascii="Helvetica Neue" w:eastAsia="Times New Roman" w:hAnsi="Helvetica Neue" w:cs="Times New Roman"/>
          <w:color w:val="333333"/>
          <w:highlight w:val="darkGray"/>
        </w:rPr>
        <w:t xml:space="preserve">. “There is no available vaccine and the capacity for surveillance of resistance patterns is insufficient in some regions. If the common antibiotics stop working due to resistance, we only have very limited alternatives left to successfully treat </w:t>
      </w:r>
      <w:proofErr w:type="spellStart"/>
      <w:r w:rsidRPr="003923CE">
        <w:rPr>
          <w:rFonts w:ascii="Helvetica Neue" w:eastAsia="Times New Roman" w:hAnsi="Helvetica Neue" w:cs="Times New Roman"/>
          <w:color w:val="333333"/>
          <w:highlight w:val="darkGray"/>
        </w:rPr>
        <w:t>gonorrhoea</w:t>
      </w:r>
      <w:proofErr w:type="spellEnd"/>
      <w:r w:rsidRPr="003923CE">
        <w:rPr>
          <w:rFonts w:ascii="Helvetica Neue" w:eastAsia="Times New Roman" w:hAnsi="Helvetica Neue" w:cs="Times New Roman"/>
          <w:color w:val="333333"/>
          <w:highlight w:val="darkGray"/>
        </w:rPr>
        <w:t>.”</w:t>
      </w:r>
    </w:p>
    <w:p w14:paraId="0A07C1FD" w14:textId="77777777" w:rsidR="009C7E2B" w:rsidRPr="003923CE" w:rsidRDefault="009C7E2B" w:rsidP="009C7E2B">
      <w:pPr>
        <w:spacing w:after="150"/>
        <w:rPr>
          <w:rFonts w:ascii="Helvetica Neue" w:eastAsia="Times New Roman" w:hAnsi="Helvetica Neue" w:cs="Times New Roman"/>
          <w:color w:val="333333"/>
          <w:highlight w:val="darkGray"/>
        </w:rPr>
      </w:pPr>
      <w:r w:rsidRPr="003923CE">
        <w:rPr>
          <w:rFonts w:ascii="Helvetica Neue" w:eastAsia="Times New Roman" w:hAnsi="Helvetica Neue" w:cs="Times New Roman"/>
          <w:color w:val="333333"/>
          <w:highlight w:val="darkGray"/>
        </w:rPr>
        <w:t xml:space="preserve">Successful </w:t>
      </w:r>
      <w:proofErr w:type="spellStart"/>
      <w:r w:rsidRPr="003923CE">
        <w:rPr>
          <w:rFonts w:ascii="Helvetica Neue" w:eastAsia="Times New Roman" w:hAnsi="Helvetica Neue" w:cs="Times New Roman"/>
          <w:color w:val="333333"/>
          <w:highlight w:val="darkGray"/>
        </w:rPr>
        <w:t>gonorrhoea</w:t>
      </w:r>
      <w:proofErr w:type="spellEnd"/>
      <w:r w:rsidRPr="003923CE">
        <w:rPr>
          <w:rFonts w:ascii="Helvetica Neue" w:eastAsia="Times New Roman" w:hAnsi="Helvetica Neue" w:cs="Times New Roman"/>
          <w:color w:val="333333"/>
          <w:highlight w:val="darkGray"/>
        </w:rPr>
        <w:t xml:space="preserve"> treatment with antibiotics reduces the risk of complications such as pelvic inflammatory disease, ectopic pregnancies, infertility or increased HIV transmission in some settings. Combined with regular testing to diagnose and treat infections at an early stage, it serves as one of the main public health strategies in order to reduce further transmission.</w:t>
      </w:r>
    </w:p>
    <w:p w14:paraId="66A9C420" w14:textId="77777777" w:rsidR="009C7E2B" w:rsidRPr="003923CE" w:rsidRDefault="009C7E2B" w:rsidP="009C7E2B">
      <w:pPr>
        <w:spacing w:before="300" w:after="150"/>
        <w:outlineLvl w:val="2"/>
        <w:rPr>
          <w:rFonts w:ascii="Georgia" w:eastAsia="Times New Roman" w:hAnsi="Georgia" w:cs="Times New Roman"/>
          <w:b/>
          <w:bCs/>
          <w:color w:val="7CBDC1"/>
          <w:sz w:val="36"/>
          <w:szCs w:val="36"/>
          <w:highlight w:val="darkGray"/>
        </w:rPr>
      </w:pPr>
      <w:r w:rsidRPr="003923CE">
        <w:rPr>
          <w:rFonts w:ascii="Georgia" w:eastAsia="Times New Roman" w:hAnsi="Georgia" w:cs="Times New Roman"/>
          <w:b/>
          <w:bCs/>
          <w:color w:val="7CBDC1"/>
          <w:sz w:val="36"/>
          <w:szCs w:val="36"/>
          <w:highlight w:val="darkGray"/>
        </w:rPr>
        <w:lastRenderedPageBreak/>
        <w:t>The gap: lack of information on used treatment</w:t>
      </w:r>
    </w:p>
    <w:p w14:paraId="19D5E8D4" w14:textId="77777777" w:rsidR="009C7E2B" w:rsidRPr="003923CE" w:rsidRDefault="009C7E2B" w:rsidP="009C7E2B">
      <w:pPr>
        <w:spacing w:after="150"/>
        <w:rPr>
          <w:rFonts w:ascii="Helvetica Neue" w:eastAsia="Times New Roman" w:hAnsi="Helvetica Neue" w:cs="Times New Roman"/>
          <w:color w:val="333333"/>
          <w:highlight w:val="darkGray"/>
        </w:rPr>
      </w:pPr>
      <w:r w:rsidRPr="003923CE">
        <w:rPr>
          <w:rFonts w:ascii="Helvetica Neue" w:eastAsia="Times New Roman" w:hAnsi="Helvetica Neue" w:cs="Times New Roman"/>
          <w:color w:val="333333"/>
          <w:highlight w:val="darkGray"/>
        </w:rPr>
        <w:t xml:space="preserve">According to the latest Euro-GASP results, 86% of patients with available information on their treatment course received ceftriaxone (with or without) azithromycin. The use of two antimicrobials for </w:t>
      </w:r>
      <w:proofErr w:type="spellStart"/>
      <w:r w:rsidRPr="003923CE">
        <w:rPr>
          <w:rFonts w:ascii="Helvetica Neue" w:eastAsia="Times New Roman" w:hAnsi="Helvetica Neue" w:cs="Times New Roman"/>
          <w:color w:val="333333"/>
          <w:highlight w:val="darkGray"/>
        </w:rPr>
        <w:t>gonorrhoea</w:t>
      </w:r>
      <w:proofErr w:type="spellEnd"/>
      <w:r w:rsidRPr="003923CE">
        <w:rPr>
          <w:rFonts w:ascii="Helvetica Neue" w:eastAsia="Times New Roman" w:hAnsi="Helvetica Neue" w:cs="Times New Roman"/>
          <w:color w:val="333333"/>
          <w:highlight w:val="darkGray"/>
        </w:rPr>
        <w:t xml:space="preserve"> therapy, which was introduced in 2012, has likely contributed to increased susceptibility to ceftriaxone. However, data completeness for the Euro-GASP isolates regarding the used treatment course still needs to improve as information on this was only available for one-third (37%) of tested isolates in 2017.</w:t>
      </w:r>
    </w:p>
    <w:p w14:paraId="3E51C164" w14:textId="77777777" w:rsidR="009C7E2B" w:rsidRPr="003923CE" w:rsidRDefault="009C7E2B" w:rsidP="009C7E2B">
      <w:pPr>
        <w:spacing w:after="150"/>
        <w:rPr>
          <w:rFonts w:ascii="Helvetica Neue" w:eastAsia="Times New Roman" w:hAnsi="Helvetica Neue" w:cs="Times New Roman"/>
          <w:color w:val="333333"/>
          <w:highlight w:val="darkGray"/>
        </w:rPr>
      </w:pPr>
      <w:r w:rsidRPr="003923CE">
        <w:rPr>
          <w:rFonts w:ascii="Helvetica Neue" w:eastAsia="Times New Roman" w:hAnsi="Helvetica Neue" w:cs="Times New Roman"/>
          <w:color w:val="333333"/>
          <w:highlight w:val="darkGray"/>
        </w:rPr>
        <w:t>Recent </w:t>
      </w:r>
      <w:hyperlink r:id="rId8" w:tgtFrame="_blank" w:history="1">
        <w:r w:rsidRPr="003923CE">
          <w:rPr>
            <w:rFonts w:ascii="Helvetica Neue" w:eastAsia="Times New Roman" w:hAnsi="Helvetica Neue" w:cs="Times New Roman"/>
            <w:color w:val="67B00A"/>
            <w:highlight w:val="darkGray"/>
          </w:rPr>
          <w:t xml:space="preserve">reports of extensively drug-resistant </w:t>
        </w:r>
        <w:proofErr w:type="spellStart"/>
        <w:r w:rsidRPr="003923CE">
          <w:rPr>
            <w:rFonts w:ascii="Helvetica Neue" w:eastAsia="Times New Roman" w:hAnsi="Helvetica Neue" w:cs="Times New Roman"/>
            <w:color w:val="67B00A"/>
            <w:highlight w:val="darkGray"/>
          </w:rPr>
          <w:t>gonorrhoea</w:t>
        </w:r>
        <w:proofErr w:type="spellEnd"/>
        <w:r w:rsidRPr="003923CE">
          <w:rPr>
            <w:rFonts w:ascii="Helvetica Neue" w:eastAsia="Times New Roman" w:hAnsi="Helvetica Neue" w:cs="Times New Roman"/>
            <w:color w:val="67B00A"/>
            <w:highlight w:val="darkGray"/>
          </w:rPr>
          <w:t xml:space="preserve"> strains</w:t>
        </w:r>
      </w:hyperlink>
      <w:r w:rsidRPr="003923CE">
        <w:rPr>
          <w:rFonts w:ascii="Helvetica Neue" w:eastAsia="Times New Roman" w:hAnsi="Helvetica Neue" w:cs="Times New Roman"/>
          <w:color w:val="333333"/>
          <w:highlight w:val="darkGray"/>
        </w:rPr>
        <w:t xml:space="preserve">, make it vital to understand if changes in resistance prevalence are the consequence of modifications in treatment, sexual </w:t>
      </w:r>
      <w:proofErr w:type="spellStart"/>
      <w:r w:rsidRPr="003923CE">
        <w:rPr>
          <w:rFonts w:ascii="Helvetica Neue" w:eastAsia="Times New Roman" w:hAnsi="Helvetica Neue" w:cs="Times New Roman"/>
          <w:color w:val="333333"/>
          <w:highlight w:val="darkGray"/>
        </w:rPr>
        <w:t>behaviour</w:t>
      </w:r>
      <w:proofErr w:type="spellEnd"/>
      <w:r w:rsidRPr="003923CE">
        <w:rPr>
          <w:rFonts w:ascii="Helvetica Neue" w:eastAsia="Times New Roman" w:hAnsi="Helvetica Neue" w:cs="Times New Roman"/>
          <w:color w:val="333333"/>
          <w:highlight w:val="darkGray"/>
        </w:rPr>
        <w:t xml:space="preserve"> in different sexual networks, the gonococcal strain distribution or due to other reasons.</w:t>
      </w:r>
    </w:p>
    <w:p w14:paraId="6174F1E4" w14:textId="77777777" w:rsidR="009C7E2B" w:rsidRPr="009C7E2B" w:rsidRDefault="009C7E2B" w:rsidP="009C7E2B">
      <w:pPr>
        <w:rPr>
          <w:rFonts w:ascii="Helvetica Neue" w:eastAsia="Times New Roman" w:hAnsi="Helvetica Neue" w:cs="Times New Roman"/>
          <w:color w:val="333333"/>
        </w:rPr>
      </w:pPr>
      <w:r w:rsidRPr="003923CE">
        <w:rPr>
          <w:rFonts w:ascii="Helvetica Neue" w:eastAsia="Times New Roman" w:hAnsi="Helvetica Neue" w:cs="Times New Roman"/>
          <w:color w:val="333333"/>
          <w:highlight w:val="darkGray"/>
        </w:rPr>
        <w:t>ECDC will publish its revised regional </w:t>
      </w:r>
      <w:hyperlink r:id="rId9" w:tgtFrame="_blank" w:history="1">
        <w:r w:rsidRPr="003923CE">
          <w:rPr>
            <w:rFonts w:ascii="Helvetica Neue" w:eastAsia="Times New Roman" w:hAnsi="Helvetica Neue" w:cs="Times New Roman"/>
            <w:color w:val="67B00A"/>
            <w:highlight w:val="darkGray"/>
          </w:rPr>
          <w:t xml:space="preserve">response plan to control multidrug-resistant </w:t>
        </w:r>
        <w:proofErr w:type="spellStart"/>
        <w:r w:rsidRPr="003923CE">
          <w:rPr>
            <w:rFonts w:ascii="Helvetica Neue" w:eastAsia="Times New Roman" w:hAnsi="Helvetica Neue" w:cs="Times New Roman"/>
            <w:color w:val="67B00A"/>
            <w:highlight w:val="darkGray"/>
          </w:rPr>
          <w:t>gonorrhoea</w:t>
        </w:r>
        <w:proofErr w:type="spellEnd"/>
      </w:hyperlink>
      <w:r w:rsidRPr="003923CE">
        <w:rPr>
          <w:rFonts w:ascii="Helvetica Neue" w:eastAsia="Times New Roman" w:hAnsi="Helvetica Neue" w:cs="Times New Roman"/>
          <w:color w:val="333333"/>
          <w:highlight w:val="darkGray"/>
        </w:rPr>
        <w:t xml:space="preserve"> later this year. The plan outlines options to </w:t>
      </w:r>
      <w:proofErr w:type="spellStart"/>
      <w:r w:rsidRPr="003923CE">
        <w:rPr>
          <w:rFonts w:ascii="Helvetica Neue" w:eastAsia="Times New Roman" w:hAnsi="Helvetica Neue" w:cs="Times New Roman"/>
          <w:color w:val="333333"/>
          <w:highlight w:val="darkGray"/>
        </w:rPr>
        <w:t>minimise</w:t>
      </w:r>
      <w:proofErr w:type="spellEnd"/>
      <w:r w:rsidRPr="003923CE">
        <w:rPr>
          <w:rFonts w:ascii="Helvetica Neue" w:eastAsia="Times New Roman" w:hAnsi="Helvetica Neue" w:cs="Times New Roman"/>
          <w:color w:val="333333"/>
          <w:highlight w:val="darkGray"/>
        </w:rPr>
        <w:t xml:space="preserve"> the threat of drug-resistant </w:t>
      </w:r>
      <w:proofErr w:type="spellStart"/>
      <w:r w:rsidRPr="003923CE">
        <w:rPr>
          <w:rFonts w:ascii="Helvetica Neue" w:eastAsia="Times New Roman" w:hAnsi="Helvetica Neue" w:cs="Times New Roman"/>
          <w:color w:val="333333"/>
          <w:highlight w:val="darkGray"/>
        </w:rPr>
        <w:t>gonorrhoea</w:t>
      </w:r>
      <w:proofErr w:type="spellEnd"/>
      <w:r w:rsidRPr="003923CE">
        <w:rPr>
          <w:rFonts w:ascii="Helvetica Neue" w:eastAsia="Times New Roman" w:hAnsi="Helvetica Neue" w:cs="Times New Roman"/>
          <w:color w:val="333333"/>
          <w:highlight w:val="darkGray"/>
        </w:rPr>
        <w:t xml:space="preserve"> in Europe.</w:t>
      </w:r>
      <w:bookmarkStart w:id="0" w:name="_GoBack"/>
      <w:bookmarkEnd w:id="0"/>
    </w:p>
    <w:p w14:paraId="6B8898E5"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42D"/>
    <w:rsid w:val="003923CE"/>
    <w:rsid w:val="00453EED"/>
    <w:rsid w:val="004A642D"/>
    <w:rsid w:val="009C7E2B"/>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C7E5B"/>
  <w14:defaultImageDpi w14:val="32767"/>
  <w15:chartTrackingRefBased/>
  <w15:docId w15:val="{F81FA9AD-3EE6-7748-9ECA-BF40EC36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C7E2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C7E2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E2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C7E2B"/>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C7E2B"/>
  </w:style>
  <w:style w:type="character" w:customStyle="1" w:styleId="label">
    <w:name w:val="label"/>
    <w:basedOn w:val="DefaultParagraphFont"/>
    <w:rsid w:val="009C7E2B"/>
  </w:style>
  <w:style w:type="character" w:customStyle="1" w:styleId="ctmetavalue">
    <w:name w:val="ct__meta__value"/>
    <w:basedOn w:val="DefaultParagraphFont"/>
    <w:rsid w:val="009C7E2B"/>
  </w:style>
  <w:style w:type="character" w:styleId="Hyperlink">
    <w:name w:val="Hyperlink"/>
    <w:basedOn w:val="DefaultParagraphFont"/>
    <w:uiPriority w:val="99"/>
    <w:semiHidden/>
    <w:unhideWhenUsed/>
    <w:rsid w:val="009C7E2B"/>
    <w:rPr>
      <w:color w:val="0000FF"/>
      <w:u w:val="single"/>
    </w:rPr>
  </w:style>
  <w:style w:type="character" w:customStyle="1" w:styleId="sr-only">
    <w:name w:val="sr-only"/>
    <w:basedOn w:val="DefaultParagraphFont"/>
    <w:rsid w:val="009C7E2B"/>
  </w:style>
  <w:style w:type="paragraph" w:customStyle="1" w:styleId="ctpage-description">
    <w:name w:val="ct__page-description"/>
    <w:basedOn w:val="Normal"/>
    <w:rsid w:val="009C7E2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9C7E2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C7E2B"/>
    <w:rPr>
      <w:i/>
      <w:iCs/>
    </w:rPr>
  </w:style>
  <w:style w:type="character" w:styleId="Strong">
    <w:name w:val="Strong"/>
    <w:basedOn w:val="DefaultParagraphFont"/>
    <w:uiPriority w:val="22"/>
    <w:qFormat/>
    <w:rsid w:val="009C7E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368093">
      <w:bodyDiv w:val="1"/>
      <w:marLeft w:val="0"/>
      <w:marRight w:val="0"/>
      <w:marTop w:val="0"/>
      <w:marBottom w:val="0"/>
      <w:divBdr>
        <w:top w:val="none" w:sz="0" w:space="0" w:color="auto"/>
        <w:left w:val="none" w:sz="0" w:space="0" w:color="auto"/>
        <w:bottom w:val="none" w:sz="0" w:space="0" w:color="auto"/>
        <w:right w:val="none" w:sz="0" w:space="0" w:color="auto"/>
      </w:divBdr>
      <w:divsChild>
        <w:div w:id="1977298544">
          <w:marLeft w:val="0"/>
          <w:marRight w:val="0"/>
          <w:marTop w:val="0"/>
          <w:marBottom w:val="343"/>
          <w:divBdr>
            <w:top w:val="none" w:sz="0" w:space="0" w:color="auto"/>
            <w:left w:val="none" w:sz="0" w:space="0" w:color="auto"/>
            <w:bottom w:val="none" w:sz="0" w:space="0" w:color="auto"/>
            <w:right w:val="none" w:sz="0" w:space="0" w:color="auto"/>
          </w:divBdr>
          <w:divsChild>
            <w:div w:id="864175345">
              <w:marLeft w:val="0"/>
              <w:marRight w:val="0"/>
              <w:marTop w:val="0"/>
              <w:marBottom w:val="0"/>
              <w:divBdr>
                <w:top w:val="none" w:sz="0" w:space="0" w:color="auto"/>
                <w:left w:val="none" w:sz="0" w:space="0" w:color="auto"/>
                <w:bottom w:val="none" w:sz="0" w:space="0" w:color="auto"/>
                <w:right w:val="none" w:sz="0" w:space="0" w:color="auto"/>
              </w:divBdr>
            </w:div>
          </w:divsChild>
        </w:div>
        <w:div w:id="1968391889">
          <w:marLeft w:val="0"/>
          <w:marRight w:val="0"/>
          <w:marTop w:val="0"/>
          <w:marBottom w:val="0"/>
          <w:divBdr>
            <w:top w:val="none" w:sz="0" w:space="0" w:color="auto"/>
            <w:left w:val="none" w:sz="0" w:space="0" w:color="auto"/>
            <w:bottom w:val="none" w:sz="0" w:space="0" w:color="auto"/>
            <w:right w:val="none" w:sz="0" w:space="0" w:color="auto"/>
          </w:divBdr>
          <w:divsChild>
            <w:div w:id="231235877">
              <w:marLeft w:val="0"/>
              <w:marRight w:val="0"/>
              <w:marTop w:val="0"/>
              <w:marBottom w:val="343"/>
              <w:divBdr>
                <w:top w:val="none" w:sz="0" w:space="0" w:color="auto"/>
                <w:left w:val="none" w:sz="0" w:space="0" w:color="auto"/>
                <w:bottom w:val="none" w:sz="0" w:space="0" w:color="auto"/>
                <w:right w:val="none" w:sz="0" w:space="0" w:color="auto"/>
              </w:divBdr>
            </w:div>
          </w:divsChild>
        </w:div>
        <w:div w:id="265816336">
          <w:marLeft w:val="0"/>
          <w:marRight w:val="0"/>
          <w:marTop w:val="0"/>
          <w:marBottom w:val="0"/>
          <w:divBdr>
            <w:top w:val="none" w:sz="0" w:space="0" w:color="auto"/>
            <w:left w:val="none" w:sz="0" w:space="0" w:color="auto"/>
            <w:bottom w:val="none" w:sz="0" w:space="0" w:color="auto"/>
            <w:right w:val="none" w:sz="0" w:space="0" w:color="auto"/>
          </w:divBdr>
          <w:divsChild>
            <w:div w:id="2037384263">
              <w:marLeft w:val="0"/>
              <w:marRight w:val="0"/>
              <w:marTop w:val="0"/>
              <w:marBottom w:val="0"/>
              <w:divBdr>
                <w:top w:val="none" w:sz="0" w:space="0" w:color="auto"/>
                <w:left w:val="none" w:sz="0" w:space="0" w:color="auto"/>
                <w:bottom w:val="none" w:sz="0" w:space="0" w:color="auto"/>
                <w:right w:val="none" w:sz="0" w:space="0" w:color="auto"/>
              </w:divBdr>
              <w:divsChild>
                <w:div w:id="1535998110">
                  <w:marLeft w:val="0"/>
                  <w:marRight w:val="0"/>
                  <w:marTop w:val="0"/>
                  <w:marBottom w:val="343"/>
                  <w:divBdr>
                    <w:top w:val="none" w:sz="0" w:space="0" w:color="auto"/>
                    <w:left w:val="none" w:sz="0" w:space="0" w:color="auto"/>
                    <w:bottom w:val="none" w:sz="0" w:space="0" w:color="auto"/>
                    <w:right w:val="none" w:sz="0" w:space="0" w:color="auto"/>
                  </w:divBdr>
                  <w:divsChild>
                    <w:div w:id="1412001428">
                      <w:marLeft w:val="0"/>
                      <w:marRight w:val="0"/>
                      <w:marTop w:val="0"/>
                      <w:marBottom w:val="0"/>
                      <w:divBdr>
                        <w:top w:val="none" w:sz="0" w:space="0" w:color="auto"/>
                        <w:left w:val="none" w:sz="0" w:space="0" w:color="auto"/>
                        <w:bottom w:val="none" w:sz="0" w:space="0" w:color="auto"/>
                        <w:right w:val="none" w:sz="0" w:space="0" w:color="auto"/>
                      </w:divBdr>
                      <w:divsChild>
                        <w:div w:id="2045208021">
                          <w:marLeft w:val="0"/>
                          <w:marRight w:val="0"/>
                          <w:marTop w:val="0"/>
                          <w:marBottom w:val="0"/>
                          <w:divBdr>
                            <w:top w:val="none" w:sz="0" w:space="0" w:color="auto"/>
                            <w:left w:val="none" w:sz="0" w:space="0" w:color="auto"/>
                            <w:bottom w:val="none" w:sz="0" w:space="0" w:color="auto"/>
                            <w:right w:val="none" w:sz="0" w:space="0" w:color="auto"/>
                          </w:divBdr>
                          <w:divsChild>
                            <w:div w:id="1563129213">
                              <w:blockQuote w:val="1"/>
                              <w:marLeft w:val="0"/>
                              <w:marRight w:val="0"/>
                              <w:marTop w:val="0"/>
                              <w:marBottom w:val="17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dc.europa.eu/en/news-events/ecdc-first-detected-cases-extensively-drug-resistant-gonorrhoea-threaten-future" TargetMode="External"/><Relationship Id="rId3" Type="http://schemas.openxmlformats.org/officeDocument/2006/relationships/webSettings" Target="webSettings.xml"/><Relationship Id="rId7" Type="http://schemas.openxmlformats.org/officeDocument/2006/relationships/hyperlink" Target="mailto:?subject=Gonorrhoea%3A%20drug%20resistance%20compromises%20recommended%20treatment%20in%20Europe%20&amp;body=https%3A//www.ecdc.europa.eu/en/news-events/gonorrhoea-drug-resistance-compromises-recommended-treatment-europ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shareArticle?mini=1&amp;url=https%3A//www.ecdc.europa.eu/en/news-events/gonorrhoea-drug-resistance-compromises-recommended-treatment-europe&amp;title=Gonorrhoea%3A%20drug%20resistance%20compromises%20recommended%20treatment%20in%20Europe%20" TargetMode="External"/><Relationship Id="rId11" Type="http://schemas.openxmlformats.org/officeDocument/2006/relationships/theme" Target="theme/theme1.xml"/><Relationship Id="rId5" Type="http://schemas.openxmlformats.org/officeDocument/2006/relationships/hyperlink" Target="https://www.facebook.com/sharer/sharer.php?u=https%3A//www.ecdc.europa.eu/en/news-events/gonorrhoea-drug-resistance-compromises-recommended-treatment-europe&amp;t=Gonorrhoea%3A%20drug%20resistance%20compromises%20recommended%20treatment%20in%20Europe%20" TargetMode="External"/><Relationship Id="rId10" Type="http://schemas.openxmlformats.org/officeDocument/2006/relationships/fontTable" Target="fontTable.xml"/><Relationship Id="rId4" Type="http://schemas.openxmlformats.org/officeDocument/2006/relationships/hyperlink" Target="https://twitter.com/share?url=https%3A//www.ecdc.europa.eu/en/news-events/gonorrhoea-drug-resistance-compromises-recommended-treatment-europe&amp;text=Gonorrhoea%3A%20drug%20resistance%20compromises%20recommended%20treatment%20in%20Europe%20" TargetMode="External"/><Relationship Id="rId9" Type="http://schemas.openxmlformats.org/officeDocument/2006/relationships/hyperlink" Target="https://ecdc.europa.eu/en/healthtopics/gonorrhoea/response-plan/Pages/response-pla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748</Words>
  <Characters>4264</Characters>
  <Application>Microsoft Office Word</Application>
  <DocSecurity>0</DocSecurity>
  <Lines>35</Lines>
  <Paragraphs>10</Paragraphs>
  <ScaleCrop>false</ScaleCrop>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2020-02-17T10:12:00Z</dcterms:created>
  <dcterms:modified xsi:type="dcterms:W3CDTF">2020-04-13T15:42:00Z</dcterms:modified>
</cp:coreProperties>
</file>