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260C1" w14:textId="77777777" w:rsidR="003A4BB6" w:rsidRPr="005364BF" w:rsidRDefault="003A4BB6" w:rsidP="003A4BB6">
      <w:pPr>
        <w:pBdr>
          <w:bottom w:val="single" w:sz="18" w:space="0" w:color="7CBDC1"/>
        </w:pBdr>
        <w:spacing w:after="150"/>
        <w:outlineLvl w:val="0"/>
        <w:rPr>
          <w:rFonts w:ascii="Georgia" w:eastAsia="Times New Roman" w:hAnsi="Georgia" w:cs="Times New Roman"/>
          <w:b/>
          <w:bCs/>
          <w:color w:val="333333"/>
          <w:kern w:val="36"/>
          <w:sz w:val="60"/>
          <w:szCs w:val="60"/>
          <w:highlight w:val="lightGray"/>
        </w:rPr>
      </w:pPr>
      <w:r w:rsidRPr="005364BF">
        <w:rPr>
          <w:rFonts w:ascii="Georgia" w:eastAsia="Times New Roman" w:hAnsi="Georgia" w:cs="Times New Roman"/>
          <w:b/>
          <w:bCs/>
          <w:color w:val="333333"/>
          <w:kern w:val="36"/>
          <w:sz w:val="60"/>
          <w:szCs w:val="60"/>
          <w:highlight w:val="lightGray"/>
        </w:rPr>
        <w:t>ECDC’s HEPSA preparedness self-assessment tool is now available in all EU/EEA languages</w:t>
      </w:r>
    </w:p>
    <w:p w14:paraId="19B6862F" w14:textId="77777777" w:rsidR="003A4BB6" w:rsidRPr="005364BF" w:rsidRDefault="003A4BB6" w:rsidP="003A4BB6">
      <w:pPr>
        <w:rPr>
          <w:rFonts w:ascii="Helvetica Neue" w:eastAsia="Times New Roman" w:hAnsi="Helvetica Neue" w:cs="Times New Roman"/>
          <w:color w:val="999999"/>
          <w:highlight w:val="lightGray"/>
        </w:rPr>
      </w:pPr>
      <w:r w:rsidRPr="005364BF">
        <w:rPr>
          <w:rFonts w:ascii="Helvetica Neue" w:eastAsia="Times New Roman" w:hAnsi="Helvetica Neue" w:cs="Times New Roman"/>
          <w:b/>
          <w:bCs/>
          <w:color w:val="FFFFFF"/>
          <w:sz w:val="18"/>
          <w:szCs w:val="18"/>
          <w:highlight w:val="lightGray"/>
          <w:shd w:val="clear" w:color="auto" w:fill="777777"/>
        </w:rPr>
        <w:t>News story</w:t>
      </w:r>
    </w:p>
    <w:p w14:paraId="0A468A26" w14:textId="77777777" w:rsidR="003A4BB6" w:rsidRPr="005364BF" w:rsidRDefault="003A4BB6" w:rsidP="003A4BB6">
      <w:pPr>
        <w:rPr>
          <w:rFonts w:ascii="Helvetica Neue" w:eastAsia="Times New Roman" w:hAnsi="Helvetica Neue" w:cs="Times New Roman"/>
          <w:color w:val="999999"/>
          <w:highlight w:val="lightGray"/>
        </w:rPr>
      </w:pPr>
      <w:r w:rsidRPr="005364BF">
        <w:rPr>
          <w:rFonts w:ascii="Helvetica Neue" w:eastAsia="Times New Roman" w:hAnsi="Helvetica Neue" w:cs="Times New Roman"/>
          <w:color w:val="999999"/>
          <w:highlight w:val="lightGray"/>
        </w:rPr>
        <w:t>7 Feb 2019</w:t>
      </w:r>
    </w:p>
    <w:p w14:paraId="4F2E9BCF" w14:textId="77777777" w:rsidR="003A4BB6" w:rsidRPr="005364BF" w:rsidRDefault="005364BF" w:rsidP="003A4BB6">
      <w:pPr>
        <w:rPr>
          <w:rFonts w:ascii="Helvetica Neue" w:eastAsia="Times New Roman" w:hAnsi="Helvetica Neue" w:cs="Times New Roman"/>
          <w:color w:val="333333"/>
          <w:highlight w:val="lightGray"/>
        </w:rPr>
      </w:pPr>
      <w:hyperlink r:id="rId5" w:tgtFrame="_blank" w:history="1">
        <w:proofErr w:type="spellStart"/>
        <w:r w:rsidR="003A4BB6" w:rsidRPr="005364BF">
          <w:rPr>
            <w:rFonts w:ascii="Helvetica Neue" w:eastAsia="Times New Roman" w:hAnsi="Helvetica Neue" w:cs="Times New Roman"/>
            <w:color w:val="FFFFFF"/>
            <w:highlight w:val="lightGray"/>
            <w:bdr w:val="none" w:sz="0" w:space="0" w:color="auto" w:frame="1"/>
            <w:shd w:val="clear" w:color="auto" w:fill="00ACED"/>
          </w:rPr>
          <w:t>Twitter</w:t>
        </w:r>
      </w:hyperlink>
      <w:hyperlink r:id="rId6" w:tgtFrame="_blank" w:history="1">
        <w:r w:rsidR="003A4BB6" w:rsidRPr="005364BF">
          <w:rPr>
            <w:rFonts w:ascii="Helvetica Neue" w:eastAsia="Times New Roman" w:hAnsi="Helvetica Neue" w:cs="Times New Roman"/>
            <w:color w:val="FFFFFF"/>
            <w:highlight w:val="lightGray"/>
            <w:bdr w:val="none" w:sz="0" w:space="0" w:color="auto" w:frame="1"/>
            <w:shd w:val="clear" w:color="auto" w:fill="3B5998"/>
          </w:rPr>
          <w:t>Facebook</w:t>
        </w:r>
      </w:hyperlink>
      <w:hyperlink r:id="rId7" w:tgtFrame="_blank" w:history="1">
        <w:r w:rsidR="003A4BB6" w:rsidRPr="005364BF">
          <w:rPr>
            <w:rFonts w:ascii="Helvetica Neue" w:eastAsia="Times New Roman" w:hAnsi="Helvetica Neue" w:cs="Times New Roman"/>
            <w:color w:val="FFFFFF"/>
            <w:highlight w:val="lightGray"/>
            <w:bdr w:val="none" w:sz="0" w:space="0" w:color="auto" w:frame="1"/>
            <w:shd w:val="clear" w:color="auto" w:fill="007BB6"/>
          </w:rPr>
          <w:t>Linked</w:t>
        </w:r>
        <w:proofErr w:type="spellEnd"/>
        <w:r w:rsidR="003A4BB6" w:rsidRPr="005364BF">
          <w:rPr>
            <w:rFonts w:ascii="Helvetica Neue" w:eastAsia="Times New Roman" w:hAnsi="Helvetica Neue" w:cs="Times New Roman"/>
            <w:color w:val="FFFFFF"/>
            <w:highlight w:val="lightGray"/>
            <w:bdr w:val="none" w:sz="0" w:space="0" w:color="auto" w:frame="1"/>
            <w:shd w:val="clear" w:color="auto" w:fill="007BB6"/>
          </w:rPr>
          <w:t xml:space="preserve"> In</w:t>
        </w:r>
      </w:hyperlink>
      <w:hyperlink r:id="rId8" w:history="1">
        <w:r w:rsidR="003A4BB6" w:rsidRPr="005364BF">
          <w:rPr>
            <w:rFonts w:ascii="Helvetica Neue" w:eastAsia="Times New Roman" w:hAnsi="Helvetica Neue" w:cs="Times New Roman"/>
            <w:color w:val="FFFFFF"/>
            <w:highlight w:val="lightGray"/>
            <w:bdr w:val="none" w:sz="0" w:space="0" w:color="auto" w:frame="1"/>
            <w:shd w:val="clear" w:color="auto" w:fill="FF6C4C"/>
          </w:rPr>
          <w:t>Mail</w:t>
        </w:r>
      </w:hyperlink>
    </w:p>
    <w:p w14:paraId="4A1C4364" w14:textId="77777777" w:rsidR="003A4BB6" w:rsidRPr="005364BF" w:rsidRDefault="003A4BB6" w:rsidP="003A4BB6">
      <w:pPr>
        <w:shd w:val="clear" w:color="auto" w:fill="F2F8F9"/>
        <w:spacing w:after="343"/>
        <w:rPr>
          <w:rFonts w:ascii="Helvetica Neue" w:eastAsia="Times New Roman" w:hAnsi="Helvetica Neue" w:cs="Times New Roman"/>
          <w:b/>
          <w:bCs/>
          <w:color w:val="333333"/>
          <w:sz w:val="21"/>
          <w:szCs w:val="21"/>
          <w:highlight w:val="lightGray"/>
        </w:rPr>
      </w:pPr>
      <w:r w:rsidRPr="005364BF">
        <w:rPr>
          <w:rFonts w:ascii="Helvetica Neue" w:eastAsia="Times New Roman" w:hAnsi="Helvetica Neue" w:cs="Times New Roman"/>
          <w:b/>
          <w:bCs/>
          <w:color w:val="333333"/>
          <w:sz w:val="21"/>
          <w:szCs w:val="21"/>
          <w:highlight w:val="lightGray"/>
        </w:rPr>
        <w:t>The HEPSA (Health Emergency Preparedness Self-Assessment) tool that ECDC launched in 2018 in English is now available in all EU/EEA languages. This tool aims at supporting countries in improving their level of public health emergency preparedness.</w:t>
      </w:r>
    </w:p>
    <w:p w14:paraId="39524273" w14:textId="77777777" w:rsidR="003A4BB6" w:rsidRPr="005364BF" w:rsidRDefault="003A4BB6" w:rsidP="003A4BB6">
      <w:pPr>
        <w:spacing w:after="150"/>
        <w:rPr>
          <w:rFonts w:ascii="Helvetica Neue" w:eastAsia="Times New Roman" w:hAnsi="Helvetica Neue" w:cs="Times New Roman"/>
          <w:color w:val="333333"/>
          <w:highlight w:val="lightGray"/>
        </w:rPr>
      </w:pPr>
      <w:r w:rsidRPr="005364BF">
        <w:rPr>
          <w:rFonts w:ascii="Helvetica Neue" w:eastAsia="Times New Roman" w:hAnsi="Helvetica Neue" w:cs="Times New Roman"/>
          <w:color w:val="333333"/>
          <w:highlight w:val="lightGray"/>
        </w:rPr>
        <w:t>The HEPSA tool consists of a user guide and a self-assessment tool, and the translated versions of these two materials will facilitate the use at country level. This tool helps in the evaluation of the levels of preparedness and contributes to identification of potential gaps. It also facilitates interactions among stakeholders to discuss themes related to public health emergency preparedness. Based on the outcomes of the self-assessment, areas for improvement can be identified and actions can be taken by the countries in order to strengthen capacities.</w:t>
      </w:r>
    </w:p>
    <w:p w14:paraId="23CBF791" w14:textId="77777777" w:rsidR="003A4BB6" w:rsidRPr="005364BF" w:rsidRDefault="003A4BB6" w:rsidP="003A4BB6">
      <w:pPr>
        <w:spacing w:after="150"/>
        <w:rPr>
          <w:rFonts w:ascii="Helvetica Neue" w:eastAsia="Times New Roman" w:hAnsi="Helvetica Neue" w:cs="Times New Roman"/>
          <w:color w:val="333333"/>
          <w:highlight w:val="lightGray"/>
        </w:rPr>
      </w:pPr>
      <w:r w:rsidRPr="005364BF">
        <w:rPr>
          <w:rFonts w:ascii="Helvetica Neue" w:eastAsia="Times New Roman" w:hAnsi="Helvetica Neue" w:cs="Times New Roman"/>
          <w:color w:val="333333"/>
          <w:highlight w:val="lightGray"/>
        </w:rPr>
        <w:t xml:space="preserve">The HEPSA tool is worksheet-based and is targeted at professionals in public health </w:t>
      </w:r>
      <w:proofErr w:type="spellStart"/>
      <w:r w:rsidRPr="005364BF">
        <w:rPr>
          <w:rFonts w:ascii="Helvetica Neue" w:eastAsia="Times New Roman" w:hAnsi="Helvetica Neue" w:cs="Times New Roman"/>
          <w:color w:val="333333"/>
          <w:highlight w:val="lightGray"/>
        </w:rPr>
        <w:t>organisations</w:t>
      </w:r>
      <w:proofErr w:type="spellEnd"/>
      <w:r w:rsidRPr="005364BF">
        <w:rPr>
          <w:rFonts w:ascii="Helvetica Neue" w:eastAsia="Times New Roman" w:hAnsi="Helvetica Neue" w:cs="Times New Roman"/>
          <w:color w:val="333333"/>
          <w:highlight w:val="lightGray"/>
        </w:rPr>
        <w:t xml:space="preserve"> responsible for emergency planning and event management. It consists of seven domains that define the process of public health emergency preparedness and response:</w:t>
      </w:r>
    </w:p>
    <w:p w14:paraId="62E53B95" w14:textId="77777777" w:rsidR="003A4BB6" w:rsidRPr="005364BF" w:rsidRDefault="003A4BB6" w:rsidP="003A4BB6">
      <w:pPr>
        <w:numPr>
          <w:ilvl w:val="0"/>
          <w:numId w:val="1"/>
        </w:numPr>
        <w:spacing w:before="100" w:beforeAutospacing="1" w:after="100" w:afterAutospacing="1"/>
        <w:rPr>
          <w:rFonts w:ascii="Helvetica Neue" w:eastAsia="Times New Roman" w:hAnsi="Helvetica Neue" w:cs="Times New Roman"/>
          <w:color w:val="333333"/>
          <w:highlight w:val="lightGray"/>
        </w:rPr>
      </w:pPr>
      <w:r w:rsidRPr="005364BF">
        <w:rPr>
          <w:rFonts w:ascii="Helvetica Neue" w:eastAsia="Times New Roman" w:hAnsi="Helvetica Neue" w:cs="Times New Roman"/>
          <w:color w:val="333333"/>
          <w:highlight w:val="lightGray"/>
        </w:rPr>
        <w:t>Pre-event preparations and governance;</w:t>
      </w:r>
    </w:p>
    <w:p w14:paraId="0F2BAF07" w14:textId="77777777" w:rsidR="003A4BB6" w:rsidRPr="005364BF" w:rsidRDefault="003A4BB6" w:rsidP="003A4BB6">
      <w:pPr>
        <w:numPr>
          <w:ilvl w:val="0"/>
          <w:numId w:val="1"/>
        </w:numPr>
        <w:spacing w:before="100" w:beforeAutospacing="1" w:after="100" w:afterAutospacing="1"/>
        <w:rPr>
          <w:rFonts w:ascii="Helvetica Neue" w:eastAsia="Times New Roman" w:hAnsi="Helvetica Neue" w:cs="Times New Roman"/>
          <w:color w:val="333333"/>
          <w:highlight w:val="lightGray"/>
        </w:rPr>
      </w:pPr>
      <w:r w:rsidRPr="005364BF">
        <w:rPr>
          <w:rFonts w:ascii="Helvetica Neue" w:eastAsia="Times New Roman" w:hAnsi="Helvetica Neue" w:cs="Times New Roman"/>
          <w:color w:val="333333"/>
          <w:highlight w:val="lightGray"/>
        </w:rPr>
        <w:t>Resources: Trained workforce;</w:t>
      </w:r>
    </w:p>
    <w:p w14:paraId="19E6689A" w14:textId="77777777" w:rsidR="003A4BB6" w:rsidRPr="005364BF" w:rsidRDefault="003A4BB6" w:rsidP="003A4BB6">
      <w:pPr>
        <w:numPr>
          <w:ilvl w:val="0"/>
          <w:numId w:val="1"/>
        </w:numPr>
        <w:spacing w:before="100" w:beforeAutospacing="1" w:after="100" w:afterAutospacing="1"/>
        <w:rPr>
          <w:rFonts w:ascii="Helvetica Neue" w:eastAsia="Times New Roman" w:hAnsi="Helvetica Neue" w:cs="Times New Roman"/>
          <w:color w:val="333333"/>
          <w:highlight w:val="lightGray"/>
        </w:rPr>
      </w:pPr>
      <w:r w:rsidRPr="005364BF">
        <w:rPr>
          <w:rFonts w:ascii="Helvetica Neue" w:eastAsia="Times New Roman" w:hAnsi="Helvetica Neue" w:cs="Times New Roman"/>
          <w:color w:val="333333"/>
          <w:highlight w:val="lightGray"/>
        </w:rPr>
        <w:t>Support capacity: Surveillance;</w:t>
      </w:r>
    </w:p>
    <w:p w14:paraId="3747933E" w14:textId="77777777" w:rsidR="003A4BB6" w:rsidRPr="005364BF" w:rsidRDefault="003A4BB6" w:rsidP="003A4BB6">
      <w:pPr>
        <w:numPr>
          <w:ilvl w:val="0"/>
          <w:numId w:val="1"/>
        </w:numPr>
        <w:spacing w:before="100" w:beforeAutospacing="1" w:after="100" w:afterAutospacing="1"/>
        <w:rPr>
          <w:rFonts w:ascii="Helvetica Neue" w:eastAsia="Times New Roman" w:hAnsi="Helvetica Neue" w:cs="Times New Roman"/>
          <w:color w:val="333333"/>
          <w:highlight w:val="lightGray"/>
        </w:rPr>
      </w:pPr>
      <w:r w:rsidRPr="005364BF">
        <w:rPr>
          <w:rFonts w:ascii="Helvetica Neue" w:eastAsia="Times New Roman" w:hAnsi="Helvetica Neue" w:cs="Times New Roman"/>
          <w:color w:val="333333"/>
          <w:highlight w:val="lightGray"/>
        </w:rPr>
        <w:t>Support capacity: Risk assess</w:t>
      </w:r>
      <w:bookmarkStart w:id="0" w:name="_GoBack"/>
      <w:bookmarkEnd w:id="0"/>
      <w:r w:rsidRPr="005364BF">
        <w:rPr>
          <w:rFonts w:ascii="Helvetica Neue" w:eastAsia="Times New Roman" w:hAnsi="Helvetica Neue" w:cs="Times New Roman"/>
          <w:color w:val="333333"/>
          <w:highlight w:val="lightGray"/>
        </w:rPr>
        <w:t>ment;</w:t>
      </w:r>
    </w:p>
    <w:p w14:paraId="4FE88D4F" w14:textId="77777777" w:rsidR="003A4BB6" w:rsidRPr="005364BF" w:rsidRDefault="003A4BB6" w:rsidP="003A4BB6">
      <w:pPr>
        <w:numPr>
          <w:ilvl w:val="0"/>
          <w:numId w:val="1"/>
        </w:numPr>
        <w:spacing w:before="100" w:beforeAutospacing="1" w:after="100" w:afterAutospacing="1"/>
        <w:rPr>
          <w:rFonts w:ascii="Helvetica Neue" w:eastAsia="Times New Roman" w:hAnsi="Helvetica Neue" w:cs="Times New Roman"/>
          <w:color w:val="333333"/>
          <w:highlight w:val="lightGray"/>
        </w:rPr>
      </w:pPr>
      <w:r w:rsidRPr="005364BF">
        <w:rPr>
          <w:rFonts w:ascii="Helvetica Neue" w:eastAsia="Times New Roman" w:hAnsi="Helvetica Neue" w:cs="Times New Roman"/>
          <w:color w:val="333333"/>
          <w:highlight w:val="lightGray"/>
        </w:rPr>
        <w:t>Event response management;</w:t>
      </w:r>
    </w:p>
    <w:p w14:paraId="2781FD19" w14:textId="77777777" w:rsidR="003A4BB6" w:rsidRPr="005364BF" w:rsidRDefault="003A4BB6" w:rsidP="003A4BB6">
      <w:pPr>
        <w:numPr>
          <w:ilvl w:val="0"/>
          <w:numId w:val="1"/>
        </w:numPr>
        <w:spacing w:before="100" w:beforeAutospacing="1" w:after="100" w:afterAutospacing="1"/>
        <w:rPr>
          <w:rFonts w:ascii="Helvetica Neue" w:eastAsia="Times New Roman" w:hAnsi="Helvetica Neue" w:cs="Times New Roman"/>
          <w:color w:val="333333"/>
          <w:highlight w:val="lightGray"/>
        </w:rPr>
      </w:pPr>
      <w:r w:rsidRPr="005364BF">
        <w:rPr>
          <w:rFonts w:ascii="Helvetica Neue" w:eastAsia="Times New Roman" w:hAnsi="Helvetica Neue" w:cs="Times New Roman"/>
          <w:color w:val="333333"/>
          <w:highlight w:val="lightGray"/>
        </w:rPr>
        <w:t>Post-event review;</w:t>
      </w:r>
    </w:p>
    <w:p w14:paraId="40D7630D" w14:textId="77777777" w:rsidR="003A4BB6" w:rsidRPr="005364BF" w:rsidRDefault="003A4BB6" w:rsidP="003A4BB6">
      <w:pPr>
        <w:numPr>
          <w:ilvl w:val="0"/>
          <w:numId w:val="1"/>
        </w:numPr>
        <w:spacing w:before="100" w:beforeAutospacing="1" w:after="100" w:afterAutospacing="1"/>
        <w:rPr>
          <w:rFonts w:ascii="Helvetica Neue" w:eastAsia="Times New Roman" w:hAnsi="Helvetica Neue" w:cs="Times New Roman"/>
          <w:color w:val="333333"/>
          <w:highlight w:val="lightGray"/>
        </w:rPr>
      </w:pPr>
      <w:r w:rsidRPr="005364BF">
        <w:rPr>
          <w:rFonts w:ascii="Helvetica Neue" w:eastAsia="Times New Roman" w:hAnsi="Helvetica Neue" w:cs="Times New Roman"/>
          <w:color w:val="333333"/>
          <w:highlight w:val="lightGray"/>
        </w:rPr>
        <w:t>Implementation of lessons learned.</w:t>
      </w:r>
    </w:p>
    <w:p w14:paraId="21FFC1B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56115"/>
    <w:multiLevelType w:val="multilevel"/>
    <w:tmpl w:val="7C86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BB6"/>
    <w:rsid w:val="003A4BB6"/>
    <w:rsid w:val="00453EED"/>
    <w:rsid w:val="005364BF"/>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4E31E"/>
  <w14:defaultImageDpi w14:val="32767"/>
  <w15:chartTrackingRefBased/>
  <w15:docId w15:val="{019385DB-0548-A440-8011-566AAD93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A4BB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BB6"/>
    <w:rPr>
      <w:rFonts w:ascii="Times New Roman" w:eastAsia="Times New Roman" w:hAnsi="Times New Roman" w:cs="Times New Roman"/>
      <w:b/>
      <w:bCs/>
      <w:kern w:val="36"/>
      <w:sz w:val="48"/>
      <w:szCs w:val="48"/>
    </w:rPr>
  </w:style>
  <w:style w:type="character" w:customStyle="1" w:styleId="label">
    <w:name w:val="label"/>
    <w:basedOn w:val="DefaultParagraphFont"/>
    <w:rsid w:val="003A4BB6"/>
  </w:style>
  <w:style w:type="character" w:customStyle="1" w:styleId="ctmetavalue">
    <w:name w:val="ct__meta__value"/>
    <w:basedOn w:val="DefaultParagraphFont"/>
    <w:rsid w:val="003A4BB6"/>
  </w:style>
  <w:style w:type="character" w:customStyle="1" w:styleId="sr-only">
    <w:name w:val="sr-only"/>
    <w:basedOn w:val="DefaultParagraphFont"/>
    <w:rsid w:val="003A4BB6"/>
  </w:style>
  <w:style w:type="paragraph" w:customStyle="1" w:styleId="ctpage-description">
    <w:name w:val="ct__page-description"/>
    <w:basedOn w:val="Normal"/>
    <w:rsid w:val="003A4BB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3A4BB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304138">
      <w:bodyDiv w:val="1"/>
      <w:marLeft w:val="0"/>
      <w:marRight w:val="0"/>
      <w:marTop w:val="0"/>
      <w:marBottom w:val="0"/>
      <w:divBdr>
        <w:top w:val="none" w:sz="0" w:space="0" w:color="auto"/>
        <w:left w:val="none" w:sz="0" w:space="0" w:color="auto"/>
        <w:bottom w:val="none" w:sz="0" w:space="0" w:color="auto"/>
        <w:right w:val="none" w:sz="0" w:space="0" w:color="auto"/>
      </w:divBdr>
      <w:divsChild>
        <w:div w:id="1165972292">
          <w:marLeft w:val="0"/>
          <w:marRight w:val="0"/>
          <w:marTop w:val="0"/>
          <w:marBottom w:val="343"/>
          <w:divBdr>
            <w:top w:val="none" w:sz="0" w:space="0" w:color="auto"/>
            <w:left w:val="none" w:sz="0" w:space="0" w:color="auto"/>
            <w:bottom w:val="none" w:sz="0" w:space="0" w:color="auto"/>
            <w:right w:val="none" w:sz="0" w:space="0" w:color="auto"/>
          </w:divBdr>
          <w:divsChild>
            <w:div w:id="739327089">
              <w:marLeft w:val="0"/>
              <w:marRight w:val="0"/>
              <w:marTop w:val="0"/>
              <w:marBottom w:val="0"/>
              <w:divBdr>
                <w:top w:val="none" w:sz="0" w:space="0" w:color="auto"/>
                <w:left w:val="none" w:sz="0" w:space="0" w:color="auto"/>
                <w:bottom w:val="none" w:sz="0" w:space="0" w:color="auto"/>
                <w:right w:val="none" w:sz="0" w:space="0" w:color="auto"/>
              </w:divBdr>
            </w:div>
          </w:divsChild>
        </w:div>
        <w:div w:id="531235394">
          <w:marLeft w:val="0"/>
          <w:marRight w:val="0"/>
          <w:marTop w:val="0"/>
          <w:marBottom w:val="0"/>
          <w:divBdr>
            <w:top w:val="none" w:sz="0" w:space="0" w:color="auto"/>
            <w:left w:val="none" w:sz="0" w:space="0" w:color="auto"/>
            <w:bottom w:val="none" w:sz="0" w:space="0" w:color="auto"/>
            <w:right w:val="none" w:sz="0" w:space="0" w:color="auto"/>
          </w:divBdr>
          <w:divsChild>
            <w:div w:id="1793746318">
              <w:marLeft w:val="0"/>
              <w:marRight w:val="0"/>
              <w:marTop w:val="0"/>
              <w:marBottom w:val="343"/>
              <w:divBdr>
                <w:top w:val="none" w:sz="0" w:space="0" w:color="auto"/>
                <w:left w:val="none" w:sz="0" w:space="0" w:color="auto"/>
                <w:bottom w:val="none" w:sz="0" w:space="0" w:color="auto"/>
                <w:right w:val="none" w:sz="0" w:space="0" w:color="auto"/>
              </w:divBdr>
            </w:div>
          </w:divsChild>
        </w:div>
        <w:div w:id="1644265139">
          <w:marLeft w:val="0"/>
          <w:marRight w:val="0"/>
          <w:marTop w:val="0"/>
          <w:marBottom w:val="0"/>
          <w:divBdr>
            <w:top w:val="none" w:sz="0" w:space="0" w:color="auto"/>
            <w:left w:val="none" w:sz="0" w:space="0" w:color="auto"/>
            <w:bottom w:val="none" w:sz="0" w:space="0" w:color="auto"/>
            <w:right w:val="none" w:sz="0" w:space="0" w:color="auto"/>
          </w:divBdr>
          <w:divsChild>
            <w:div w:id="403838326">
              <w:marLeft w:val="0"/>
              <w:marRight w:val="0"/>
              <w:marTop w:val="0"/>
              <w:marBottom w:val="0"/>
              <w:divBdr>
                <w:top w:val="none" w:sz="0" w:space="0" w:color="auto"/>
                <w:left w:val="none" w:sz="0" w:space="0" w:color="auto"/>
                <w:bottom w:val="none" w:sz="0" w:space="0" w:color="auto"/>
                <w:right w:val="none" w:sz="0" w:space="0" w:color="auto"/>
              </w:divBdr>
              <w:divsChild>
                <w:div w:id="360327835">
                  <w:marLeft w:val="0"/>
                  <w:marRight w:val="0"/>
                  <w:marTop w:val="0"/>
                  <w:marBottom w:val="343"/>
                  <w:divBdr>
                    <w:top w:val="none" w:sz="0" w:space="0" w:color="auto"/>
                    <w:left w:val="none" w:sz="0" w:space="0" w:color="auto"/>
                    <w:bottom w:val="none" w:sz="0" w:space="0" w:color="auto"/>
                    <w:right w:val="none" w:sz="0" w:space="0" w:color="auto"/>
                  </w:divBdr>
                  <w:divsChild>
                    <w:div w:id="1809471828">
                      <w:marLeft w:val="0"/>
                      <w:marRight w:val="0"/>
                      <w:marTop w:val="0"/>
                      <w:marBottom w:val="0"/>
                      <w:divBdr>
                        <w:top w:val="none" w:sz="0" w:space="0" w:color="auto"/>
                        <w:left w:val="none" w:sz="0" w:space="0" w:color="auto"/>
                        <w:bottom w:val="none" w:sz="0" w:space="0" w:color="auto"/>
                        <w:right w:val="none" w:sz="0" w:space="0" w:color="auto"/>
                      </w:divBdr>
                      <w:divsChild>
                        <w:div w:id="19018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ECDC%E2%80%99s%20HEPSA%20preparedness%20self-assessment%20tool%20is%20now%20available%20in%20all%20EU/EEA%20languages&amp;body=https%3A//www.ecdc.europa.eu/en/news-events/ecdcs-hepsa-preparedness-self-assessment-tool-now-available-all-eueea-languages" TargetMode="External"/><Relationship Id="rId3" Type="http://schemas.openxmlformats.org/officeDocument/2006/relationships/settings" Target="settings.xml"/><Relationship Id="rId7" Type="http://schemas.openxmlformats.org/officeDocument/2006/relationships/hyperlink" Target="https://www.linkedin.com/shareArticle?mini=1&amp;url=https%3A//www.ecdc.europa.eu/en/news-events/ecdcs-hepsa-preparedness-self-assessment-tool-now-available-all-eueea-languages&amp;title=ECDC%E2%80%99s%20HEPSA%20preparedness%20self-assessment%20tool%20is%20now%20available%20in%20all%20EU/EEA%20langu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arer/sharer.php?u=https%3A//www.ecdc.europa.eu/en/news-events/ecdcs-hepsa-preparedness-self-assessment-tool-now-available-all-eueea-languages&amp;t=ECDC%E2%80%99s%20HEPSA%20preparedness%20self-assessment%20tool%20is%20now%20available%20in%20all%20EU/EEA%20languages" TargetMode="External"/><Relationship Id="rId5" Type="http://schemas.openxmlformats.org/officeDocument/2006/relationships/hyperlink" Target="https://twitter.com/share?url=https%3A//www.ecdc.europa.eu/en/news-events/ecdcs-hepsa-preparedness-self-assessment-tool-now-available-all-eueea-languages&amp;text=ECDC%E2%80%99s%20HEPSA%20preparedness%20self-assessment%20tool%20is%20now%20available%20in%20all%20EU/EEA%20languag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2020-02-17T10:15:00Z</dcterms:created>
  <dcterms:modified xsi:type="dcterms:W3CDTF">2020-04-13T15:44:00Z</dcterms:modified>
</cp:coreProperties>
</file>