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44B4" w14:textId="77777777" w:rsidR="005C6A40" w:rsidRPr="005C6A40" w:rsidRDefault="005C6A40" w:rsidP="005C6A40">
      <w:pPr>
        <w:spacing w:after="225"/>
        <w:outlineLvl w:val="1"/>
        <w:rPr>
          <w:rFonts w:ascii="Verdana" w:eastAsia="Times New Roman" w:hAnsi="Verdana" w:cs="Times New Roman"/>
          <w:color w:val="384A53"/>
          <w:sz w:val="29"/>
          <w:szCs w:val="29"/>
        </w:rPr>
      </w:pPr>
      <w:r w:rsidRPr="005C6A40">
        <w:rPr>
          <w:rFonts w:ascii="Verdana" w:eastAsia="Times New Roman" w:hAnsi="Verdana" w:cs="Times New Roman"/>
          <w:color w:val="384A53"/>
          <w:sz w:val="29"/>
          <w:szCs w:val="29"/>
        </w:rPr>
        <w:t>ECHA’s scientific committees support restricting PAHs in granules and mulches</w:t>
      </w:r>
    </w:p>
    <w:p w14:paraId="601466EF"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ECHA/PR/19/13</w:t>
      </w:r>
    </w:p>
    <w:p w14:paraId="09BDCBDA"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8370A">
        <w:rPr>
          <w:rFonts w:ascii="Verdana" w:eastAsia="Times New Roman" w:hAnsi="Verdana" w:cs="Times New Roman"/>
          <w:b/>
          <w:bCs/>
          <w:color w:val="384A53"/>
          <w:sz w:val="20"/>
          <w:szCs w:val="20"/>
          <w:highlight w:val="darkGray"/>
        </w:rPr>
        <w:t>The Committee for Socio-economic Analysis (SEAC) has adopted its final opinion supporting the proposal for restricting eight polycyclic aromatic hydrocarbons (PAHs) found in granules and mulches used, for example, in synthetic turf pitches and playgrounds.</w:t>
      </w:r>
      <w:r w:rsidRPr="005C6A40">
        <w:rPr>
          <w:rFonts w:ascii="Verdana" w:eastAsia="Times New Roman" w:hAnsi="Verdana" w:cs="Times New Roman"/>
          <w:b/>
          <w:bCs/>
          <w:color w:val="384A53"/>
          <w:sz w:val="20"/>
          <w:szCs w:val="20"/>
        </w:rPr>
        <w:t> </w:t>
      </w:r>
    </w:p>
    <w:p w14:paraId="51421953"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b/>
          <w:bCs/>
          <w:color w:val="384A53"/>
          <w:sz w:val="20"/>
          <w:szCs w:val="20"/>
        </w:rPr>
        <w:t>Helsinki, 18 September 2019 – </w:t>
      </w:r>
      <w:r w:rsidRPr="005C6A40">
        <w:rPr>
          <w:rFonts w:ascii="Verdana" w:eastAsia="Times New Roman" w:hAnsi="Verdana" w:cs="Times New Roman"/>
          <w:color w:val="384A53"/>
          <w:sz w:val="20"/>
          <w:szCs w:val="20"/>
        </w:rPr>
        <w:t>SEAC adopted its final opinion by simple majority, supporting the proposal by the Dutch National Institute for Public Health and the Environment (RIVM) and following an earlier opinion by the Committee for Risk Assessment (RAC) in June.</w:t>
      </w:r>
    </w:p>
    <w:p w14:paraId="6FD268A8"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8370A">
        <w:rPr>
          <w:rFonts w:ascii="Verdana" w:eastAsia="Times New Roman" w:hAnsi="Verdana" w:cs="Times New Roman"/>
          <w:color w:val="384A53"/>
          <w:sz w:val="20"/>
          <w:szCs w:val="20"/>
          <w:highlight w:val="darkGray"/>
        </w:rPr>
        <w:t>The restriction proposal lowers the total concentration limit of eight PAHs to </w:t>
      </w:r>
      <w:r w:rsidRPr="0058370A">
        <w:rPr>
          <w:rFonts w:ascii="Verdana" w:eastAsia="Times New Roman" w:hAnsi="Verdana" w:cs="Times New Roman"/>
          <w:b/>
          <w:bCs/>
          <w:color w:val="384A53"/>
          <w:sz w:val="20"/>
          <w:szCs w:val="20"/>
          <w:highlight w:val="darkGray"/>
        </w:rPr>
        <w:t>20 mg/kg</w:t>
      </w:r>
      <w:r w:rsidRPr="0058370A">
        <w:rPr>
          <w:rFonts w:ascii="Verdana" w:eastAsia="Times New Roman" w:hAnsi="Verdana" w:cs="Times New Roman"/>
          <w:color w:val="384A53"/>
          <w:sz w:val="20"/>
          <w:szCs w:val="20"/>
          <w:highlight w:val="darkGray"/>
        </w:rPr>
        <w:t> (0.002 % by weight). The concentration limits for PAHs in mixtures supplied to the general public are currently set at 100 mg/kg or 1 000 mg/kg for each of the substances. The PAHs all have been identified as causing cancer and the proposed concentration limits will be closer to the limit values for individual PAHs in articles supplied to the general public (</w:t>
      </w:r>
      <w:hyperlink r:id="rId4" w:history="1">
        <w:r w:rsidRPr="0058370A">
          <w:rPr>
            <w:rFonts w:ascii="Verdana" w:eastAsia="Times New Roman" w:hAnsi="Verdana" w:cs="Times New Roman"/>
            <w:color w:val="008BC8"/>
            <w:sz w:val="20"/>
            <w:szCs w:val="20"/>
            <w:highlight w:val="darkGray"/>
            <w:u w:val="single"/>
          </w:rPr>
          <w:t>entry 50</w:t>
        </w:r>
      </w:hyperlink>
      <w:r w:rsidRPr="0058370A">
        <w:rPr>
          <w:rFonts w:ascii="Verdana" w:eastAsia="Times New Roman" w:hAnsi="Verdana" w:cs="Times New Roman"/>
          <w:color w:val="384A53"/>
          <w:sz w:val="20"/>
          <w:szCs w:val="20"/>
          <w:highlight w:val="darkGray"/>
        </w:rPr>
        <w:t> of REACH Restrictions list).</w:t>
      </w:r>
    </w:p>
    <w:p w14:paraId="7605D742"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8370A">
        <w:rPr>
          <w:rFonts w:ascii="Verdana" w:eastAsia="Times New Roman" w:hAnsi="Verdana" w:cs="Times New Roman"/>
          <w:color w:val="384A53"/>
          <w:sz w:val="20"/>
          <w:szCs w:val="20"/>
          <w:highlight w:val="darkGray"/>
        </w:rPr>
        <w:t>Currently, the levels of PAHs measured in granular infill material and mulches pose, at most, a very low level of concern (</w:t>
      </w:r>
      <w:hyperlink r:id="rId5" w:tgtFrame="_blank" w:history="1">
        <w:r w:rsidRPr="0058370A">
          <w:rPr>
            <w:rFonts w:ascii="Verdana" w:eastAsia="Times New Roman" w:hAnsi="Verdana" w:cs="Times New Roman"/>
            <w:color w:val="008BC8"/>
            <w:sz w:val="20"/>
            <w:szCs w:val="20"/>
            <w:highlight w:val="darkGray"/>
            <w:u w:val="single"/>
          </w:rPr>
          <w:t>ECHA study, 2017</w:t>
        </w:r>
      </w:hyperlink>
      <w:r w:rsidRPr="0058370A">
        <w:rPr>
          <w:rFonts w:ascii="Verdana" w:eastAsia="Times New Roman" w:hAnsi="Verdana" w:cs="Times New Roman"/>
          <w:color w:val="384A53"/>
          <w:sz w:val="20"/>
          <w:szCs w:val="20"/>
          <w:highlight w:val="darkGray"/>
        </w:rPr>
        <w:t>). The aim of the proposed restriction is to ensure that the cancer risk from PAH exposure </w:t>
      </w:r>
      <w:r w:rsidRPr="0058370A">
        <w:rPr>
          <w:rFonts w:ascii="Verdana" w:eastAsia="Times New Roman" w:hAnsi="Verdana" w:cs="Times New Roman"/>
          <w:b/>
          <w:bCs/>
          <w:color w:val="384A53"/>
          <w:sz w:val="20"/>
          <w:szCs w:val="20"/>
          <w:highlight w:val="darkGray"/>
        </w:rPr>
        <w:t xml:space="preserve">remains at a low </w:t>
      </w:r>
      <w:proofErr w:type="spellStart"/>
      <w:r w:rsidRPr="0058370A">
        <w:rPr>
          <w:rFonts w:ascii="Verdana" w:eastAsia="Times New Roman" w:hAnsi="Verdana" w:cs="Times New Roman"/>
          <w:b/>
          <w:bCs/>
          <w:color w:val="384A53"/>
          <w:sz w:val="20"/>
          <w:szCs w:val="20"/>
          <w:highlight w:val="darkGray"/>
        </w:rPr>
        <w:t>level</w:t>
      </w:r>
      <w:r w:rsidRPr="0058370A">
        <w:rPr>
          <w:rFonts w:ascii="Verdana" w:eastAsia="Times New Roman" w:hAnsi="Verdana" w:cs="Times New Roman"/>
          <w:color w:val="384A53"/>
          <w:sz w:val="20"/>
          <w:szCs w:val="20"/>
          <w:highlight w:val="darkGray"/>
        </w:rPr>
        <w:t>for</w:t>
      </w:r>
      <w:proofErr w:type="spellEnd"/>
      <w:r w:rsidRPr="0058370A">
        <w:rPr>
          <w:rFonts w:ascii="Verdana" w:eastAsia="Times New Roman" w:hAnsi="Verdana" w:cs="Times New Roman"/>
          <w:color w:val="384A53"/>
          <w:sz w:val="20"/>
          <w:szCs w:val="20"/>
          <w:highlight w:val="darkGray"/>
        </w:rPr>
        <w:t xml:space="preserve"> those coming into contact (inhalation and skin contact) with the granules and mulches. This includes, for example, footballers, children playing on the pitches or playgrounds and workers installing and maintaining such surfaces.</w:t>
      </w:r>
    </w:p>
    <w:p w14:paraId="59200446"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8370A">
        <w:rPr>
          <w:rFonts w:ascii="Verdana" w:eastAsia="Times New Roman" w:hAnsi="Verdana" w:cs="Times New Roman"/>
          <w:color w:val="384A53"/>
          <w:sz w:val="20"/>
          <w:szCs w:val="20"/>
          <w:highlight w:val="lightGray"/>
        </w:rPr>
        <w:t>SEAC concluded that the proposed restriction is the most appropriate measure to control the risks posed by these substances, and that the measures proposed would be proportionate to the risk with limited economic impacts</w:t>
      </w:r>
      <w:r w:rsidRPr="005C6A40">
        <w:rPr>
          <w:rFonts w:ascii="Verdana" w:eastAsia="Times New Roman" w:hAnsi="Verdana" w:cs="Times New Roman"/>
          <w:color w:val="384A53"/>
          <w:sz w:val="20"/>
          <w:szCs w:val="20"/>
        </w:rPr>
        <w:t>. The proposal does not affect existing fields but will ensure that the material used for maintaining (refilling) the fields is below the new limit. The final opinion of SEAC will be published in the coming weeks.</w:t>
      </w:r>
    </w:p>
    <w:tbl>
      <w:tblPr>
        <w:tblpPr w:leftFromText="45" w:rightFromText="45" w:vertAnchor="text"/>
        <w:tblW w:w="7500"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67"/>
        <w:gridCol w:w="2233"/>
      </w:tblGrid>
      <w:tr w:rsidR="005C6A40" w:rsidRPr="005C6A40" w14:paraId="5C9EDF2D"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008BC8"/>
            <w:hideMark/>
          </w:tcPr>
          <w:p w14:paraId="3C50D0AA"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b/>
                <w:bCs/>
                <w:color w:val="FFFFFF"/>
                <w:sz w:val="20"/>
                <w:szCs w:val="20"/>
              </w:rPr>
              <w:t>Substance</w:t>
            </w:r>
          </w:p>
        </w:tc>
        <w:tc>
          <w:tcPr>
            <w:tcW w:w="0" w:type="auto"/>
            <w:tcBorders>
              <w:top w:val="outset" w:sz="6" w:space="0" w:color="auto"/>
              <w:left w:val="outset" w:sz="6" w:space="0" w:color="auto"/>
              <w:bottom w:val="outset" w:sz="6" w:space="0" w:color="auto"/>
              <w:right w:val="outset" w:sz="6" w:space="0" w:color="auto"/>
            </w:tcBorders>
            <w:shd w:val="clear" w:color="auto" w:fill="008BC8"/>
            <w:hideMark/>
          </w:tcPr>
          <w:p w14:paraId="0361DE6E"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b/>
                <w:bCs/>
                <w:color w:val="FFFFFF"/>
                <w:sz w:val="20"/>
                <w:szCs w:val="20"/>
              </w:rPr>
              <w:t>CAS number</w:t>
            </w:r>
          </w:p>
        </w:tc>
      </w:tr>
      <w:tr w:rsidR="005C6A40" w:rsidRPr="005C6A40" w14:paraId="1417A126"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5E4AA8C"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Benzo[a]pyrene (</w:t>
            </w:r>
            <w:proofErr w:type="spellStart"/>
            <w:r w:rsidRPr="005C6A40">
              <w:rPr>
                <w:rFonts w:ascii="Verdana" w:eastAsia="Times New Roman" w:hAnsi="Verdana" w:cs="Times New Roman"/>
                <w:color w:val="384A53"/>
                <w:sz w:val="20"/>
                <w:szCs w:val="20"/>
              </w:rPr>
              <w:t>BaP</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06F9799"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50-32-8</w:t>
            </w:r>
          </w:p>
        </w:tc>
      </w:tr>
      <w:tr w:rsidR="005C6A40" w:rsidRPr="005C6A40" w14:paraId="687A7443"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98DFD1A"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Benzo[e]pyrene (</w:t>
            </w:r>
            <w:proofErr w:type="spellStart"/>
            <w:r w:rsidRPr="005C6A40">
              <w:rPr>
                <w:rFonts w:ascii="Verdana" w:eastAsia="Times New Roman" w:hAnsi="Verdana" w:cs="Times New Roman"/>
                <w:color w:val="384A53"/>
                <w:sz w:val="20"/>
                <w:szCs w:val="20"/>
              </w:rPr>
              <w:t>BeP</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733C789"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192-97-2</w:t>
            </w:r>
          </w:p>
        </w:tc>
      </w:tr>
      <w:tr w:rsidR="005C6A40" w:rsidRPr="005C6A40" w14:paraId="1BD4E22B"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CCB0F99"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Benzo[a]anthracene (</w:t>
            </w:r>
            <w:proofErr w:type="spellStart"/>
            <w:r w:rsidRPr="005C6A40">
              <w:rPr>
                <w:rFonts w:ascii="Verdana" w:eastAsia="Times New Roman" w:hAnsi="Verdana" w:cs="Times New Roman"/>
                <w:color w:val="384A53"/>
                <w:sz w:val="20"/>
                <w:szCs w:val="20"/>
              </w:rPr>
              <w:t>BaA</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5223194"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56-55-3</w:t>
            </w:r>
          </w:p>
        </w:tc>
      </w:tr>
      <w:tr w:rsidR="005C6A40" w:rsidRPr="005C6A40" w14:paraId="7C242F53"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0F55892" w14:textId="77777777" w:rsidR="005C6A40" w:rsidRPr="005C6A40" w:rsidRDefault="005C6A40" w:rsidP="005C6A40">
            <w:pPr>
              <w:rPr>
                <w:rFonts w:ascii="Verdana" w:eastAsia="Times New Roman" w:hAnsi="Verdana" w:cs="Times New Roman"/>
                <w:color w:val="384A53"/>
                <w:sz w:val="20"/>
                <w:szCs w:val="20"/>
              </w:rPr>
            </w:pPr>
            <w:proofErr w:type="spellStart"/>
            <w:r w:rsidRPr="005C6A40">
              <w:rPr>
                <w:rFonts w:ascii="Verdana" w:eastAsia="Times New Roman" w:hAnsi="Verdana" w:cs="Times New Roman"/>
                <w:color w:val="384A53"/>
                <w:sz w:val="20"/>
                <w:szCs w:val="20"/>
              </w:rPr>
              <w:t>Chrysen</w:t>
            </w:r>
            <w:proofErr w:type="spellEnd"/>
            <w:r w:rsidRPr="005C6A40">
              <w:rPr>
                <w:rFonts w:ascii="Verdana" w:eastAsia="Times New Roman" w:hAnsi="Verdana" w:cs="Times New Roman"/>
                <w:color w:val="384A53"/>
                <w:sz w:val="20"/>
                <w:szCs w:val="20"/>
              </w:rPr>
              <w:t xml:space="preserve"> (CHR)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F53C7C8"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218-01-9</w:t>
            </w:r>
          </w:p>
        </w:tc>
      </w:tr>
      <w:tr w:rsidR="005C6A40" w:rsidRPr="005C6A40" w14:paraId="3CD5E11A"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338841B"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Benzo[b]fluoranthene (</w:t>
            </w:r>
            <w:proofErr w:type="spellStart"/>
            <w:r w:rsidRPr="005C6A40">
              <w:rPr>
                <w:rFonts w:ascii="Verdana" w:eastAsia="Times New Roman" w:hAnsi="Verdana" w:cs="Times New Roman"/>
                <w:color w:val="384A53"/>
                <w:sz w:val="20"/>
                <w:szCs w:val="20"/>
              </w:rPr>
              <w:t>BbFA</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A30CA82"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205-99-2</w:t>
            </w:r>
          </w:p>
        </w:tc>
      </w:tr>
      <w:tr w:rsidR="005C6A40" w:rsidRPr="005C6A40" w14:paraId="669DD8D5"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429704B"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Benzo[j]fluoranthene (</w:t>
            </w:r>
            <w:proofErr w:type="spellStart"/>
            <w:r w:rsidRPr="005C6A40">
              <w:rPr>
                <w:rFonts w:ascii="Verdana" w:eastAsia="Times New Roman" w:hAnsi="Verdana" w:cs="Times New Roman"/>
                <w:color w:val="384A53"/>
                <w:sz w:val="20"/>
                <w:szCs w:val="20"/>
              </w:rPr>
              <w:t>BjFA</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4C5E2E1"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205-82-3</w:t>
            </w:r>
          </w:p>
        </w:tc>
      </w:tr>
      <w:tr w:rsidR="005C6A40" w:rsidRPr="005C6A40" w14:paraId="169CD9DB"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0945066"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Benzo[k]fluoranthene (</w:t>
            </w:r>
            <w:proofErr w:type="spellStart"/>
            <w:r w:rsidRPr="005C6A40">
              <w:rPr>
                <w:rFonts w:ascii="Verdana" w:eastAsia="Times New Roman" w:hAnsi="Verdana" w:cs="Times New Roman"/>
                <w:color w:val="384A53"/>
                <w:sz w:val="20"/>
                <w:szCs w:val="20"/>
              </w:rPr>
              <w:t>BkFA</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4DD3DE8"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207-08-9</w:t>
            </w:r>
          </w:p>
        </w:tc>
      </w:tr>
      <w:tr w:rsidR="005C6A40" w:rsidRPr="005C6A40" w14:paraId="0DE0A9E7" w14:textId="77777777" w:rsidTr="005C6A4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A5E619B"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Dibenzo[</w:t>
            </w:r>
            <w:proofErr w:type="spellStart"/>
            <w:proofErr w:type="gramStart"/>
            <w:r w:rsidRPr="005C6A40">
              <w:rPr>
                <w:rFonts w:ascii="Verdana" w:eastAsia="Times New Roman" w:hAnsi="Verdana" w:cs="Times New Roman"/>
                <w:color w:val="384A53"/>
                <w:sz w:val="20"/>
                <w:szCs w:val="20"/>
              </w:rPr>
              <w:t>a,h</w:t>
            </w:r>
            <w:proofErr w:type="spellEnd"/>
            <w:proofErr w:type="gramEnd"/>
            <w:r w:rsidRPr="005C6A40">
              <w:rPr>
                <w:rFonts w:ascii="Verdana" w:eastAsia="Times New Roman" w:hAnsi="Verdana" w:cs="Times New Roman"/>
                <w:color w:val="384A53"/>
                <w:sz w:val="20"/>
                <w:szCs w:val="20"/>
              </w:rPr>
              <w:t>]anthracene (</w:t>
            </w:r>
            <w:proofErr w:type="spellStart"/>
            <w:r w:rsidRPr="005C6A40">
              <w:rPr>
                <w:rFonts w:ascii="Verdana" w:eastAsia="Times New Roman" w:hAnsi="Verdana" w:cs="Times New Roman"/>
                <w:color w:val="384A53"/>
                <w:sz w:val="20"/>
                <w:szCs w:val="20"/>
              </w:rPr>
              <w:t>DBAhA</w:t>
            </w:r>
            <w:proofErr w:type="spellEnd"/>
            <w:r w:rsidRPr="005C6A40">
              <w:rPr>
                <w:rFonts w:ascii="Verdana" w:eastAsia="Times New Roman" w:hAnsi="Verdana" w:cs="Times New Roman"/>
                <w:color w:val="384A5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1D32FE1" w14:textId="77777777" w:rsidR="005C6A40" w:rsidRPr="005C6A40" w:rsidRDefault="005C6A40" w:rsidP="005C6A40">
            <w:pPr>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53-70-3</w:t>
            </w:r>
          </w:p>
        </w:tc>
      </w:tr>
    </w:tbl>
    <w:p w14:paraId="7EE2AA40"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58AA6750"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1C4A50E4"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6A0DF2B9"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34259061"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2020A5AB"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1F804F17"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C6A40">
        <w:rPr>
          <w:rFonts w:ascii="Verdana" w:eastAsia="Times New Roman" w:hAnsi="Verdana" w:cs="Times New Roman"/>
          <w:color w:val="384A53"/>
          <w:sz w:val="20"/>
          <w:szCs w:val="20"/>
        </w:rPr>
        <w:t> </w:t>
      </w:r>
    </w:p>
    <w:p w14:paraId="1866E127" w14:textId="77777777" w:rsidR="005C6A40" w:rsidRPr="005C6A40" w:rsidRDefault="005C6A40" w:rsidP="005C6A40">
      <w:pPr>
        <w:rPr>
          <w:rFonts w:ascii="Times New Roman" w:eastAsia="Times New Roman" w:hAnsi="Times New Roman" w:cs="Times New Roman"/>
        </w:rPr>
      </w:pPr>
      <w:r w:rsidRPr="005C6A40">
        <w:rPr>
          <w:rFonts w:ascii="Verdana" w:eastAsia="Times New Roman" w:hAnsi="Verdana" w:cs="Times New Roman"/>
          <w:i/>
          <w:iCs/>
          <w:color w:val="384A53"/>
          <w:sz w:val="20"/>
          <w:szCs w:val="20"/>
        </w:rPr>
        <w:lastRenderedPageBreak/>
        <w:t>Table: Eight PAHs with their CAS numbers.</w:t>
      </w:r>
    </w:p>
    <w:p w14:paraId="3DD846B2" w14:textId="77777777" w:rsidR="005C6A40" w:rsidRPr="005C6A40" w:rsidRDefault="005C6A40" w:rsidP="005C6A40">
      <w:pPr>
        <w:spacing w:before="375" w:after="225"/>
        <w:outlineLvl w:val="1"/>
        <w:rPr>
          <w:rFonts w:ascii="Verdana" w:eastAsia="Times New Roman" w:hAnsi="Verdana" w:cs="Times New Roman"/>
          <w:color w:val="384A53"/>
          <w:sz w:val="29"/>
          <w:szCs w:val="29"/>
        </w:rPr>
      </w:pPr>
      <w:r w:rsidRPr="005C6A40">
        <w:rPr>
          <w:rFonts w:ascii="Verdana" w:eastAsia="Times New Roman" w:hAnsi="Verdana" w:cs="Times New Roman"/>
          <w:color w:val="384A53"/>
          <w:sz w:val="29"/>
          <w:szCs w:val="29"/>
        </w:rPr>
        <w:t>Next steps</w:t>
      </w:r>
    </w:p>
    <w:p w14:paraId="2D1CF6FA"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8370A">
        <w:rPr>
          <w:rFonts w:ascii="Verdana" w:eastAsia="Times New Roman" w:hAnsi="Verdana" w:cs="Times New Roman"/>
          <w:color w:val="384A53"/>
          <w:sz w:val="20"/>
          <w:szCs w:val="20"/>
          <w:highlight w:val="yellow"/>
        </w:rPr>
        <w:t>Following SEAC’s adoption of its final opinion, the opinions of both RAC and SEAC will be forwarded to the European Commission. The Commission will consider if the conditions for the restriction are met, prepare a draft restriction measure to amend the REACH Restrictions list (Annex XVII) and submit this for an opinion to Member States in the REACH Committee.</w:t>
      </w:r>
    </w:p>
    <w:p w14:paraId="4B3BA644" w14:textId="77777777" w:rsidR="005C6A40" w:rsidRPr="005C6A40" w:rsidRDefault="005C6A40" w:rsidP="005C6A40">
      <w:pPr>
        <w:spacing w:before="375" w:after="225"/>
        <w:outlineLvl w:val="1"/>
        <w:rPr>
          <w:rFonts w:ascii="Verdana" w:eastAsia="Times New Roman" w:hAnsi="Verdana" w:cs="Times New Roman"/>
          <w:color w:val="384A53"/>
          <w:sz w:val="29"/>
          <w:szCs w:val="29"/>
        </w:rPr>
      </w:pPr>
      <w:r w:rsidRPr="005C6A40">
        <w:rPr>
          <w:rFonts w:ascii="Verdana" w:eastAsia="Times New Roman" w:hAnsi="Verdana" w:cs="Times New Roman"/>
          <w:color w:val="384A53"/>
          <w:sz w:val="29"/>
          <w:szCs w:val="29"/>
        </w:rPr>
        <w:t>Microplastics restriction proposal</w:t>
      </w:r>
    </w:p>
    <w:p w14:paraId="4A66698D" w14:textId="77777777" w:rsidR="005C6A40" w:rsidRPr="005C6A40" w:rsidRDefault="005C6A40" w:rsidP="005C6A40">
      <w:pPr>
        <w:spacing w:after="225" w:line="277" w:lineRule="atLeast"/>
        <w:rPr>
          <w:rFonts w:ascii="Verdana" w:eastAsia="Times New Roman" w:hAnsi="Verdana" w:cs="Times New Roman"/>
          <w:color w:val="384A53"/>
          <w:sz w:val="20"/>
          <w:szCs w:val="20"/>
        </w:rPr>
      </w:pPr>
      <w:r w:rsidRPr="0058370A">
        <w:rPr>
          <w:rFonts w:ascii="Verdana" w:eastAsia="Times New Roman" w:hAnsi="Verdana" w:cs="Times New Roman"/>
          <w:color w:val="384A53"/>
          <w:sz w:val="20"/>
          <w:szCs w:val="20"/>
          <w:highlight w:val="darkGray"/>
        </w:rPr>
        <w:t>The restriction proposal on PAHs concerns risks to human health from the substances present in the infill material of artificial turfs.</w:t>
      </w:r>
      <w:r w:rsidRPr="005C6A40">
        <w:rPr>
          <w:rFonts w:ascii="Verdana" w:eastAsia="Times New Roman" w:hAnsi="Verdana" w:cs="Times New Roman"/>
          <w:color w:val="384A53"/>
          <w:sz w:val="20"/>
          <w:szCs w:val="20"/>
        </w:rPr>
        <w:t xml:space="preserve"> ECHA is also progressing with its proposal to restrict intentionally added microplastics which aims at reducing potential environmental risks. The granular infill material that is typically used in artificial turf pitches is understood to be an ‘intentionally-added </w:t>
      </w:r>
      <w:r w:rsidRPr="0058370A">
        <w:rPr>
          <w:rFonts w:ascii="Verdana" w:eastAsia="Times New Roman" w:hAnsi="Verdana" w:cs="Times New Roman"/>
          <w:color w:val="384A53"/>
          <w:sz w:val="20"/>
          <w:szCs w:val="20"/>
          <w:highlight w:val="yellow"/>
        </w:rPr>
        <w:t>microplastic’. </w:t>
      </w:r>
      <w:hyperlink r:id="rId6" w:history="1">
        <w:r w:rsidRPr="0058370A">
          <w:rPr>
            <w:rFonts w:ascii="Verdana" w:eastAsia="Times New Roman" w:hAnsi="Verdana" w:cs="Times New Roman"/>
            <w:color w:val="008BC8"/>
            <w:sz w:val="20"/>
            <w:szCs w:val="20"/>
            <w:highlight w:val="yellow"/>
            <w:u w:val="single"/>
          </w:rPr>
          <w:t>A public consultation on this proposal</w:t>
        </w:r>
      </w:hyperlink>
      <w:r w:rsidRPr="0058370A">
        <w:rPr>
          <w:rFonts w:ascii="Verdana" w:eastAsia="Times New Roman" w:hAnsi="Verdana" w:cs="Times New Roman"/>
          <w:color w:val="384A53"/>
          <w:sz w:val="20"/>
          <w:szCs w:val="20"/>
          <w:highlight w:val="yellow"/>
        </w:rPr>
        <w:t xml:space="preserve"> ends on 20 September 2019, after which RAC and SEAC will </w:t>
      </w:r>
      <w:proofErr w:type="spellStart"/>
      <w:r w:rsidRPr="0058370A">
        <w:rPr>
          <w:rFonts w:ascii="Verdana" w:eastAsia="Times New Roman" w:hAnsi="Verdana" w:cs="Times New Roman"/>
          <w:color w:val="384A53"/>
          <w:sz w:val="20"/>
          <w:szCs w:val="20"/>
          <w:highlight w:val="yellow"/>
        </w:rPr>
        <w:t>finalise</w:t>
      </w:r>
      <w:proofErr w:type="spellEnd"/>
      <w:r w:rsidRPr="0058370A">
        <w:rPr>
          <w:rFonts w:ascii="Verdana" w:eastAsia="Times New Roman" w:hAnsi="Verdana" w:cs="Times New Roman"/>
          <w:color w:val="384A53"/>
          <w:sz w:val="20"/>
          <w:szCs w:val="20"/>
          <w:highlight w:val="yellow"/>
        </w:rPr>
        <w:t xml:space="preserve"> their opinions to aid the Commission’s decision making. In the framework of the public consultation, further information has been requested specifically on the use of granular infill material in synthetic turf to assess the implications and the possible need for a derogation.</w:t>
      </w:r>
      <w:bookmarkStart w:id="0" w:name="_GoBack"/>
      <w:bookmarkEnd w:id="0"/>
    </w:p>
    <w:p w14:paraId="1350613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98"/>
    <w:rsid w:val="00453EED"/>
    <w:rsid w:val="0058370A"/>
    <w:rsid w:val="005C6A40"/>
    <w:rsid w:val="0086129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80AAA"/>
  <w14:defaultImageDpi w14:val="32767"/>
  <w15:chartTrackingRefBased/>
  <w15:docId w15:val="{65FC3897-0066-E944-B7EB-6E01036B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C6A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A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6A4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6A40"/>
    <w:rPr>
      <w:b/>
      <w:bCs/>
    </w:rPr>
  </w:style>
  <w:style w:type="character" w:customStyle="1" w:styleId="apple-converted-space">
    <w:name w:val="apple-converted-space"/>
    <w:basedOn w:val="DefaultParagraphFont"/>
    <w:rsid w:val="005C6A40"/>
  </w:style>
  <w:style w:type="character" w:styleId="Hyperlink">
    <w:name w:val="Hyperlink"/>
    <w:basedOn w:val="DefaultParagraphFont"/>
    <w:uiPriority w:val="99"/>
    <w:semiHidden/>
    <w:unhideWhenUsed/>
    <w:rsid w:val="005C6A40"/>
    <w:rPr>
      <w:color w:val="0000FF"/>
      <w:u w:val="single"/>
    </w:rPr>
  </w:style>
  <w:style w:type="character" w:styleId="Emphasis">
    <w:name w:val="Emphasis"/>
    <w:basedOn w:val="DefaultParagraphFont"/>
    <w:uiPriority w:val="20"/>
    <w:qFormat/>
    <w:rsid w:val="005C6A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2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ha.europa.eu/restrictions-under-consideration/-/substance-rev/22921/term" TargetMode="External"/><Relationship Id="rId5" Type="http://schemas.openxmlformats.org/officeDocument/2006/relationships/hyperlink" Target="https://echa.europa.eu/documents/10162/13563/annex-xv_report_rubber_granules_en.pdf/dbcb4ee6-1c65-af35-7a18-f6ac1ac29fe4" TargetMode="External"/><Relationship Id="rId4" Type="http://schemas.openxmlformats.org/officeDocument/2006/relationships/hyperlink" Target="https://echa.europa.eu/substances-restricted-under-reach/-/dislist/details/0b0236e1807e2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2020-02-17T10:34:00Z</dcterms:created>
  <dcterms:modified xsi:type="dcterms:W3CDTF">2020-04-13T16:46:00Z</dcterms:modified>
</cp:coreProperties>
</file>