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7BDB4" w14:textId="77777777" w:rsidR="00791F3C" w:rsidRPr="00791F3C" w:rsidRDefault="00791F3C" w:rsidP="00791F3C">
      <w:pPr>
        <w:spacing w:after="225"/>
        <w:outlineLvl w:val="1"/>
        <w:rPr>
          <w:rFonts w:ascii="Verdana" w:eastAsia="Times New Roman" w:hAnsi="Verdana" w:cs="Times New Roman"/>
          <w:color w:val="384A53"/>
          <w:sz w:val="29"/>
          <w:szCs w:val="29"/>
        </w:rPr>
      </w:pPr>
      <w:r w:rsidRPr="00791F3C">
        <w:rPr>
          <w:rFonts w:ascii="Verdana" w:eastAsia="Times New Roman" w:hAnsi="Verdana" w:cs="Times New Roman"/>
          <w:color w:val="384A53"/>
          <w:sz w:val="29"/>
          <w:szCs w:val="29"/>
        </w:rPr>
        <w:t>Six new substances added to the Candidate List</w:t>
      </w:r>
    </w:p>
    <w:p w14:paraId="2A456707"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color w:val="384A53"/>
          <w:sz w:val="20"/>
          <w:szCs w:val="20"/>
        </w:rPr>
        <w:t>ECHA/PR/19/01</w:t>
      </w:r>
    </w:p>
    <w:p w14:paraId="438E39B4"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b/>
          <w:bCs/>
          <w:color w:val="384A53"/>
          <w:sz w:val="20"/>
          <w:szCs w:val="20"/>
        </w:rPr>
        <w:t xml:space="preserve">The Candidate List of substances of very high concern (SVHCs) for </w:t>
      </w:r>
      <w:proofErr w:type="spellStart"/>
      <w:r w:rsidRPr="00791F3C">
        <w:rPr>
          <w:rFonts w:ascii="Verdana" w:eastAsia="Times New Roman" w:hAnsi="Verdana" w:cs="Times New Roman"/>
          <w:b/>
          <w:bCs/>
          <w:color w:val="384A53"/>
          <w:sz w:val="20"/>
          <w:szCs w:val="20"/>
        </w:rPr>
        <w:t>authorisation</w:t>
      </w:r>
      <w:proofErr w:type="spellEnd"/>
      <w:r w:rsidRPr="00791F3C">
        <w:rPr>
          <w:rFonts w:ascii="Verdana" w:eastAsia="Times New Roman" w:hAnsi="Verdana" w:cs="Times New Roman"/>
          <w:b/>
          <w:bCs/>
          <w:color w:val="384A53"/>
          <w:sz w:val="20"/>
          <w:szCs w:val="20"/>
        </w:rPr>
        <w:t xml:space="preserve"> now contains 197 substances.</w:t>
      </w:r>
    </w:p>
    <w:p w14:paraId="42489724"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b/>
          <w:bCs/>
          <w:color w:val="384A53"/>
          <w:sz w:val="20"/>
          <w:szCs w:val="20"/>
        </w:rPr>
        <w:t>Helsinki, 15 January 2019</w:t>
      </w:r>
      <w:r w:rsidRPr="00791F3C">
        <w:rPr>
          <w:rFonts w:ascii="Verdana" w:eastAsia="Times New Roman" w:hAnsi="Verdana" w:cs="Times New Roman"/>
          <w:color w:val="384A53"/>
          <w:sz w:val="20"/>
          <w:szCs w:val="20"/>
        </w:rPr>
        <w:t> </w:t>
      </w:r>
      <w:r w:rsidRPr="00791F3C">
        <w:rPr>
          <w:rFonts w:ascii="Verdana" w:eastAsia="Times New Roman" w:hAnsi="Verdana" w:cs="Times New Roman"/>
          <w:b/>
          <w:bCs/>
          <w:color w:val="384A53"/>
          <w:sz w:val="20"/>
          <w:szCs w:val="20"/>
        </w:rPr>
        <w:t>– </w:t>
      </w:r>
      <w:r w:rsidRPr="00791F3C">
        <w:rPr>
          <w:rFonts w:ascii="Verdana" w:eastAsia="Times New Roman" w:hAnsi="Verdana" w:cs="Times New Roman"/>
          <w:color w:val="384A53"/>
          <w:sz w:val="20"/>
          <w:szCs w:val="20"/>
        </w:rPr>
        <w:t xml:space="preserve">ECHA has added five new substances to the Candidate List due to the </w:t>
      </w:r>
      <w:r w:rsidRPr="00A85E68">
        <w:rPr>
          <w:rFonts w:ascii="Verdana" w:eastAsia="Times New Roman" w:hAnsi="Verdana" w:cs="Times New Roman"/>
          <w:color w:val="384A53"/>
          <w:sz w:val="20"/>
          <w:szCs w:val="20"/>
          <w:highlight w:val="darkGray"/>
        </w:rPr>
        <w:t xml:space="preserve">carcinogenic, toxic to reproduction, persistent, </w:t>
      </w:r>
      <w:proofErr w:type="spellStart"/>
      <w:r w:rsidRPr="00A85E68">
        <w:rPr>
          <w:rFonts w:ascii="Verdana" w:eastAsia="Times New Roman" w:hAnsi="Verdana" w:cs="Times New Roman"/>
          <w:color w:val="384A53"/>
          <w:sz w:val="20"/>
          <w:szCs w:val="20"/>
          <w:highlight w:val="darkGray"/>
        </w:rPr>
        <w:t>bioaccumulative</w:t>
      </w:r>
      <w:proofErr w:type="spellEnd"/>
      <w:r w:rsidRPr="00A85E68">
        <w:rPr>
          <w:rFonts w:ascii="Verdana" w:eastAsia="Times New Roman" w:hAnsi="Verdana" w:cs="Times New Roman"/>
          <w:color w:val="384A53"/>
          <w:sz w:val="20"/>
          <w:szCs w:val="20"/>
          <w:highlight w:val="darkGray"/>
        </w:rPr>
        <w:t xml:space="preserve"> and toxic (PBT) and very persistent and very </w:t>
      </w:r>
      <w:proofErr w:type="spellStart"/>
      <w:r w:rsidRPr="00A85E68">
        <w:rPr>
          <w:rFonts w:ascii="Verdana" w:eastAsia="Times New Roman" w:hAnsi="Verdana" w:cs="Times New Roman"/>
          <w:color w:val="384A53"/>
          <w:sz w:val="20"/>
          <w:szCs w:val="20"/>
          <w:highlight w:val="darkGray"/>
        </w:rPr>
        <w:t>bioaccumulative</w:t>
      </w:r>
      <w:proofErr w:type="spellEnd"/>
      <w:r w:rsidRPr="00A85E68">
        <w:rPr>
          <w:rFonts w:ascii="Verdana" w:eastAsia="Times New Roman" w:hAnsi="Verdana" w:cs="Times New Roman"/>
          <w:color w:val="384A53"/>
          <w:sz w:val="20"/>
          <w:szCs w:val="20"/>
          <w:highlight w:val="darkGray"/>
        </w:rPr>
        <w:t xml:space="preserve"> (</w:t>
      </w:r>
      <w:proofErr w:type="spellStart"/>
      <w:r w:rsidRPr="00A85E68">
        <w:rPr>
          <w:rFonts w:ascii="Verdana" w:eastAsia="Times New Roman" w:hAnsi="Verdana" w:cs="Times New Roman"/>
          <w:color w:val="384A53"/>
          <w:sz w:val="20"/>
          <w:szCs w:val="20"/>
          <w:highlight w:val="darkGray"/>
        </w:rPr>
        <w:t>vPvB</w:t>
      </w:r>
      <w:proofErr w:type="spellEnd"/>
      <w:r w:rsidRPr="00A85E68">
        <w:rPr>
          <w:rFonts w:ascii="Verdana" w:eastAsia="Times New Roman" w:hAnsi="Verdana" w:cs="Times New Roman"/>
          <w:color w:val="384A53"/>
          <w:sz w:val="20"/>
          <w:szCs w:val="20"/>
          <w:highlight w:val="darkGray"/>
        </w:rPr>
        <w:t xml:space="preserve">) properties of the substances. The </w:t>
      </w:r>
      <w:r w:rsidRPr="00A85E68">
        <w:rPr>
          <w:rFonts w:ascii="Verdana" w:eastAsia="Times New Roman" w:hAnsi="Verdana" w:cs="Times New Roman"/>
          <w:color w:val="384A53"/>
          <w:sz w:val="20"/>
          <w:szCs w:val="20"/>
          <w:highlight w:val="yellow"/>
        </w:rPr>
        <w:t>decision to include the four polycyclic aromatic hydrocarbons (PAHs) was taken with the involvement of the Member State Committee (MSC). The four PAH cases were referred to the MSC in order </w:t>
      </w:r>
      <w:r w:rsidRPr="00A85E68">
        <w:rPr>
          <w:rFonts w:ascii="Verdana" w:eastAsia="Times New Roman" w:hAnsi="Verdana" w:cs="Times New Roman"/>
          <w:color w:val="000000"/>
          <w:sz w:val="20"/>
          <w:szCs w:val="20"/>
          <w:highlight w:val="yellow"/>
        </w:rPr>
        <w:t>to address new hazard information submitted during the public consultation</w:t>
      </w:r>
      <w:r w:rsidRPr="00791F3C">
        <w:rPr>
          <w:rFonts w:ascii="Verdana" w:eastAsia="Times New Roman" w:hAnsi="Verdana" w:cs="Times New Roman"/>
          <w:color w:val="000000"/>
          <w:sz w:val="20"/>
          <w:szCs w:val="20"/>
        </w:rPr>
        <w:t>.</w:t>
      </w:r>
    </w:p>
    <w:p w14:paraId="75DB175E"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color w:val="384A53"/>
          <w:sz w:val="20"/>
          <w:szCs w:val="20"/>
        </w:rPr>
        <w:t xml:space="preserve">One further substance has also been added to the list having been identified as an SVHC by the European Commission due to its endocrine-disrupting properties. </w:t>
      </w:r>
      <w:r w:rsidRPr="00A85E68">
        <w:rPr>
          <w:rFonts w:ascii="Verdana" w:eastAsia="Times New Roman" w:hAnsi="Verdana" w:cs="Times New Roman"/>
          <w:color w:val="384A53"/>
          <w:sz w:val="20"/>
          <w:szCs w:val="20"/>
          <w:highlight w:val="yellow"/>
        </w:rPr>
        <w:t>The Commission’s decision follows the referral of the MSC opinion on this SVHC proposal in 2016.</w:t>
      </w:r>
    </w:p>
    <w:p w14:paraId="711C6270"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color w:val="384A53"/>
          <w:sz w:val="20"/>
          <w:szCs w:val="20"/>
        </w:rPr>
        <w:t xml:space="preserve">Substances included in the Candidate List for </w:t>
      </w:r>
      <w:proofErr w:type="spellStart"/>
      <w:r w:rsidRPr="00791F3C">
        <w:rPr>
          <w:rFonts w:ascii="Verdana" w:eastAsia="Times New Roman" w:hAnsi="Verdana" w:cs="Times New Roman"/>
          <w:color w:val="384A53"/>
          <w:sz w:val="20"/>
          <w:szCs w:val="20"/>
        </w:rPr>
        <w:t>authorisation</w:t>
      </w:r>
      <w:proofErr w:type="spellEnd"/>
      <w:r w:rsidRPr="00791F3C">
        <w:rPr>
          <w:rFonts w:ascii="Verdana" w:eastAsia="Times New Roman" w:hAnsi="Verdana" w:cs="Times New Roman"/>
          <w:color w:val="384A53"/>
          <w:sz w:val="20"/>
          <w:szCs w:val="20"/>
        </w:rPr>
        <w:t xml:space="preserve"> on 15 January 2019 and their SVHC properties: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532"/>
        <w:gridCol w:w="4510"/>
        <w:gridCol w:w="1208"/>
        <w:gridCol w:w="1239"/>
        <w:gridCol w:w="2487"/>
        <w:gridCol w:w="2699"/>
      </w:tblGrid>
      <w:tr w:rsidR="00791F3C" w:rsidRPr="00A85E68" w14:paraId="6E7716FF" w14:textId="77777777" w:rsidTr="00791F3C">
        <w:trPr>
          <w:tblCellSpacing w:w="15" w:type="dxa"/>
        </w:trPr>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68F9551A" w14:textId="77777777" w:rsidR="00791F3C" w:rsidRPr="00A85E68" w:rsidRDefault="00791F3C" w:rsidP="00791F3C">
            <w:pPr>
              <w:spacing w:before="225"/>
              <w:rPr>
                <w:rFonts w:ascii="Verdana" w:eastAsia="Times New Roman" w:hAnsi="Verdana" w:cs="Times New Roman"/>
                <w:b/>
                <w:bCs/>
                <w:color w:val="113460"/>
                <w:sz w:val="18"/>
                <w:szCs w:val="18"/>
                <w:highlight w:val="darkGray"/>
              </w:rPr>
            </w:pPr>
            <w:r w:rsidRPr="00A85E68">
              <w:rPr>
                <w:rFonts w:ascii="Verdana" w:eastAsia="Times New Roman" w:hAnsi="Verdana" w:cs="Times New Roman"/>
                <w:b/>
                <w:bCs/>
                <w:color w:val="113460"/>
                <w:sz w:val="18"/>
                <w:szCs w:val="18"/>
                <w:highlight w:val="darkGray"/>
              </w:rPr>
              <w:t>#</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4042AE5F" w14:textId="77777777" w:rsidR="00791F3C" w:rsidRPr="00A85E68" w:rsidRDefault="00791F3C" w:rsidP="00791F3C">
            <w:pPr>
              <w:spacing w:before="225"/>
              <w:rPr>
                <w:rFonts w:ascii="Verdana" w:eastAsia="Times New Roman" w:hAnsi="Verdana" w:cs="Times New Roman"/>
                <w:b/>
                <w:bCs/>
                <w:color w:val="113460"/>
                <w:sz w:val="18"/>
                <w:szCs w:val="18"/>
                <w:highlight w:val="darkGray"/>
              </w:rPr>
            </w:pPr>
            <w:r w:rsidRPr="00A85E68">
              <w:rPr>
                <w:rFonts w:ascii="Verdana" w:eastAsia="Times New Roman" w:hAnsi="Verdana" w:cs="Times New Roman"/>
                <w:b/>
                <w:bCs/>
                <w:color w:val="113460"/>
                <w:sz w:val="18"/>
                <w:szCs w:val="18"/>
                <w:highlight w:val="darkGray"/>
              </w:rPr>
              <w:t>Substance name</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592849E0" w14:textId="77777777" w:rsidR="00791F3C" w:rsidRPr="00A85E68" w:rsidRDefault="00791F3C" w:rsidP="00791F3C">
            <w:pPr>
              <w:spacing w:before="225"/>
              <w:rPr>
                <w:rFonts w:ascii="Verdana" w:eastAsia="Times New Roman" w:hAnsi="Verdana" w:cs="Times New Roman"/>
                <w:b/>
                <w:bCs/>
                <w:color w:val="113460"/>
                <w:sz w:val="18"/>
                <w:szCs w:val="18"/>
                <w:highlight w:val="darkGray"/>
              </w:rPr>
            </w:pPr>
            <w:r w:rsidRPr="00A85E68">
              <w:rPr>
                <w:rFonts w:ascii="Verdana" w:eastAsia="Times New Roman" w:hAnsi="Verdana" w:cs="Times New Roman"/>
                <w:b/>
                <w:bCs/>
                <w:color w:val="113460"/>
                <w:sz w:val="18"/>
                <w:szCs w:val="18"/>
                <w:highlight w:val="darkGray"/>
              </w:rPr>
              <w:t>EC number</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79A70EA2" w14:textId="77777777" w:rsidR="00791F3C" w:rsidRPr="00A85E68" w:rsidRDefault="00791F3C" w:rsidP="00791F3C">
            <w:pPr>
              <w:spacing w:before="225"/>
              <w:rPr>
                <w:rFonts w:ascii="Verdana" w:eastAsia="Times New Roman" w:hAnsi="Verdana" w:cs="Times New Roman"/>
                <w:b/>
                <w:bCs/>
                <w:color w:val="113460"/>
                <w:sz w:val="18"/>
                <w:szCs w:val="18"/>
                <w:highlight w:val="darkGray"/>
              </w:rPr>
            </w:pPr>
            <w:r w:rsidRPr="00A85E68">
              <w:rPr>
                <w:rFonts w:ascii="Verdana" w:eastAsia="Times New Roman" w:hAnsi="Verdana" w:cs="Times New Roman"/>
                <w:b/>
                <w:bCs/>
                <w:color w:val="113460"/>
                <w:sz w:val="18"/>
                <w:szCs w:val="18"/>
                <w:highlight w:val="darkGray"/>
              </w:rPr>
              <w:t>CAS number</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18E94B26" w14:textId="77777777" w:rsidR="00791F3C" w:rsidRPr="00A85E68" w:rsidRDefault="00791F3C" w:rsidP="00791F3C">
            <w:pPr>
              <w:spacing w:before="225"/>
              <w:rPr>
                <w:rFonts w:ascii="Verdana" w:eastAsia="Times New Roman" w:hAnsi="Verdana" w:cs="Times New Roman"/>
                <w:b/>
                <w:bCs/>
                <w:color w:val="113460"/>
                <w:sz w:val="18"/>
                <w:szCs w:val="18"/>
                <w:highlight w:val="darkGray"/>
              </w:rPr>
            </w:pPr>
            <w:r w:rsidRPr="00A85E68">
              <w:rPr>
                <w:rFonts w:ascii="Verdana" w:eastAsia="Times New Roman" w:hAnsi="Verdana" w:cs="Times New Roman"/>
                <w:b/>
                <w:bCs/>
                <w:color w:val="113460"/>
                <w:sz w:val="18"/>
                <w:szCs w:val="18"/>
                <w:highlight w:val="darkGray"/>
              </w:rPr>
              <w:t>Reason for inclusion</w:t>
            </w:r>
          </w:p>
        </w:tc>
        <w:tc>
          <w:tcPr>
            <w:tcW w:w="0" w:type="auto"/>
            <w:tcBorders>
              <w:top w:val="single" w:sz="2" w:space="0" w:color="FFAC01"/>
              <w:left w:val="single" w:sz="6" w:space="0" w:color="FFE413"/>
              <w:bottom w:val="single" w:sz="12" w:space="0" w:color="FFFFFF"/>
              <w:right w:val="single" w:sz="6" w:space="0" w:color="FFAC01"/>
            </w:tcBorders>
            <w:shd w:val="clear" w:color="auto" w:fill="FFCB05"/>
            <w:tcMar>
              <w:top w:w="75" w:type="dxa"/>
              <w:left w:w="150" w:type="dxa"/>
              <w:bottom w:w="75" w:type="dxa"/>
              <w:right w:w="150" w:type="dxa"/>
            </w:tcMar>
            <w:vAlign w:val="center"/>
            <w:hideMark/>
          </w:tcPr>
          <w:p w14:paraId="48F4B2AB" w14:textId="77777777" w:rsidR="00791F3C" w:rsidRPr="00A85E68" w:rsidRDefault="00791F3C" w:rsidP="00791F3C">
            <w:pPr>
              <w:spacing w:before="225"/>
              <w:rPr>
                <w:rFonts w:ascii="Verdana" w:eastAsia="Times New Roman" w:hAnsi="Verdana" w:cs="Times New Roman"/>
                <w:b/>
                <w:bCs/>
                <w:color w:val="113460"/>
                <w:sz w:val="18"/>
                <w:szCs w:val="18"/>
                <w:highlight w:val="darkGray"/>
              </w:rPr>
            </w:pPr>
            <w:r w:rsidRPr="00A85E68">
              <w:rPr>
                <w:rFonts w:ascii="Verdana" w:eastAsia="Times New Roman" w:hAnsi="Verdana" w:cs="Times New Roman"/>
                <w:b/>
                <w:bCs/>
                <w:color w:val="113460"/>
                <w:sz w:val="18"/>
                <w:szCs w:val="18"/>
                <w:highlight w:val="darkGray"/>
              </w:rPr>
              <w:t>Examples of use(s)</w:t>
            </w:r>
          </w:p>
        </w:tc>
      </w:tr>
      <w:tr w:rsidR="00791F3C" w:rsidRPr="00A85E68" w14:paraId="1D9D71CC" w14:textId="77777777" w:rsidTr="00791F3C">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69BA1C69" w14:textId="77777777" w:rsidR="00791F3C" w:rsidRPr="00A85E68" w:rsidRDefault="00791F3C" w:rsidP="00791F3C">
            <w:pPr>
              <w:spacing w:before="225"/>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1</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23E0D804" w14:textId="77777777" w:rsidR="00791F3C" w:rsidRPr="00A85E68" w:rsidRDefault="00791F3C" w:rsidP="00791F3C">
            <w:pPr>
              <w:spacing w:before="225"/>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2,2-bis(4'-hydroxyphenyl)-4-methylpentane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03CBCC33" w14:textId="77777777" w:rsidR="00791F3C" w:rsidRPr="00A85E68" w:rsidRDefault="00791F3C" w:rsidP="00791F3C">
            <w:pPr>
              <w:spacing w:before="225"/>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401-720-1</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3C658397" w14:textId="77777777" w:rsidR="00791F3C" w:rsidRPr="00A85E68" w:rsidRDefault="00791F3C" w:rsidP="00791F3C">
            <w:pPr>
              <w:spacing w:before="225"/>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6807-17-6</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D760123"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Toxic for reproduction (Article 57c)</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531667EB"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No active registrations under REACH. </w:t>
            </w:r>
          </w:p>
        </w:tc>
      </w:tr>
      <w:tr w:rsidR="00791F3C" w:rsidRPr="00A85E68" w14:paraId="323E04F6" w14:textId="77777777" w:rsidTr="00791F3C">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C236744"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53D7279"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Benzo[k]fluoranthene</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115D4C79"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205-916-6</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434B807E"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207-08-9</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428D4700"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Carcinogenic (Article 57a)</w:t>
            </w:r>
          </w:p>
          <w:p w14:paraId="40E9B40D"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PBT (Article 57d)</w:t>
            </w:r>
          </w:p>
          <w:p w14:paraId="60AD2386"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proofErr w:type="spellStart"/>
            <w:r w:rsidRPr="00A85E68">
              <w:rPr>
                <w:rFonts w:ascii="Verdana" w:eastAsia="Times New Roman" w:hAnsi="Verdana" w:cs="Times New Roman"/>
                <w:color w:val="002555"/>
                <w:sz w:val="18"/>
                <w:szCs w:val="18"/>
                <w:highlight w:val="darkGray"/>
              </w:rPr>
              <w:t>vPvB</w:t>
            </w:r>
            <w:proofErr w:type="spellEnd"/>
            <w:r w:rsidRPr="00A85E68">
              <w:rPr>
                <w:rFonts w:ascii="Verdana" w:eastAsia="Times New Roman" w:hAnsi="Verdana" w:cs="Times New Roman"/>
                <w:color w:val="002555"/>
                <w:sz w:val="18"/>
                <w:szCs w:val="18"/>
                <w:highlight w:val="darkGray"/>
              </w:rPr>
              <w:t xml:space="preserve"> (Article 57e)</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6D38AC7C"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Not yet registered under REACH. </w:t>
            </w:r>
          </w:p>
        </w:tc>
      </w:tr>
      <w:tr w:rsidR="00791F3C" w:rsidRPr="00A85E68" w14:paraId="546E13C1" w14:textId="77777777" w:rsidTr="00791F3C">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0512B36"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3</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4F361EE"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Fluoranthene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58009A7C"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205-912-4</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2A337BA3"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206-44-0</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41AE7F8"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PBT (Article 57d)</w:t>
            </w:r>
          </w:p>
          <w:p w14:paraId="6741E112"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proofErr w:type="spellStart"/>
            <w:r w:rsidRPr="00A85E68">
              <w:rPr>
                <w:rFonts w:ascii="Verdana" w:eastAsia="Times New Roman" w:hAnsi="Verdana" w:cs="Times New Roman"/>
                <w:color w:val="002555"/>
                <w:sz w:val="18"/>
                <w:szCs w:val="18"/>
                <w:highlight w:val="darkGray"/>
              </w:rPr>
              <w:t>vPvB</w:t>
            </w:r>
            <w:proofErr w:type="spellEnd"/>
            <w:r w:rsidRPr="00A85E68">
              <w:rPr>
                <w:rFonts w:ascii="Verdana" w:eastAsia="Times New Roman" w:hAnsi="Verdana" w:cs="Times New Roman"/>
                <w:color w:val="002555"/>
                <w:sz w:val="18"/>
                <w:szCs w:val="18"/>
                <w:highlight w:val="darkGray"/>
              </w:rPr>
              <w:t xml:space="preserve"> (Article 57e)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6564506B"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Not yet registered under REACH. </w:t>
            </w:r>
          </w:p>
        </w:tc>
      </w:tr>
      <w:tr w:rsidR="00791F3C" w:rsidRPr="00A85E68" w14:paraId="03DF034C" w14:textId="77777777" w:rsidTr="00791F3C">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1DF8A8C2"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4</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676EE58D"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Phenanthrene</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4695294"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201-581-5</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7791B102"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85-01-8</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B40913D" w14:textId="77777777" w:rsidR="00791F3C" w:rsidRPr="00A85E68" w:rsidRDefault="00791F3C" w:rsidP="00791F3C">
            <w:pPr>
              <w:rPr>
                <w:rFonts w:ascii="Verdana" w:eastAsia="Times New Roman" w:hAnsi="Verdana" w:cs="Times New Roman"/>
                <w:color w:val="002555"/>
                <w:sz w:val="18"/>
                <w:szCs w:val="18"/>
                <w:highlight w:val="darkGray"/>
              </w:rPr>
            </w:pPr>
            <w:proofErr w:type="spellStart"/>
            <w:r w:rsidRPr="00A85E68">
              <w:rPr>
                <w:rFonts w:ascii="Verdana" w:eastAsia="Times New Roman" w:hAnsi="Verdana" w:cs="Times New Roman"/>
                <w:color w:val="002555"/>
                <w:sz w:val="18"/>
                <w:szCs w:val="18"/>
                <w:highlight w:val="darkGray"/>
              </w:rPr>
              <w:t>vPvB</w:t>
            </w:r>
            <w:proofErr w:type="spellEnd"/>
            <w:r w:rsidRPr="00A85E68">
              <w:rPr>
                <w:rFonts w:ascii="Verdana" w:eastAsia="Times New Roman" w:hAnsi="Verdana" w:cs="Times New Roman"/>
                <w:color w:val="002555"/>
                <w:sz w:val="18"/>
                <w:szCs w:val="18"/>
                <w:highlight w:val="darkGray"/>
              </w:rPr>
              <w:t xml:space="preserve"> (Article 57e)</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6710A035"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Not yet registered under REACH. </w:t>
            </w:r>
          </w:p>
        </w:tc>
      </w:tr>
      <w:tr w:rsidR="00791F3C" w:rsidRPr="00A85E68" w14:paraId="5AC7A696" w14:textId="77777777" w:rsidTr="00791F3C">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D8E3F9F"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5</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752B7566"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Pyrene</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F43C491"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204-927-3</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05D8A18E"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129-00-0</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62BA84DF"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PBT (Article 57d)</w:t>
            </w:r>
          </w:p>
          <w:p w14:paraId="2888595F" w14:textId="77777777" w:rsidR="00791F3C" w:rsidRPr="00A85E68" w:rsidRDefault="00791F3C" w:rsidP="00791F3C">
            <w:pPr>
              <w:rPr>
                <w:rFonts w:ascii="Verdana" w:eastAsia="Times New Roman" w:hAnsi="Verdana" w:cs="Times New Roman"/>
                <w:color w:val="002555"/>
                <w:sz w:val="18"/>
                <w:szCs w:val="18"/>
                <w:highlight w:val="darkGray"/>
              </w:rPr>
            </w:pPr>
            <w:proofErr w:type="spellStart"/>
            <w:r w:rsidRPr="00A85E68">
              <w:rPr>
                <w:rFonts w:ascii="Verdana" w:eastAsia="Times New Roman" w:hAnsi="Verdana" w:cs="Times New Roman"/>
                <w:color w:val="002555"/>
                <w:sz w:val="18"/>
                <w:szCs w:val="18"/>
                <w:highlight w:val="darkGray"/>
              </w:rPr>
              <w:t>vPvB</w:t>
            </w:r>
            <w:proofErr w:type="spellEnd"/>
            <w:r w:rsidRPr="00A85E68">
              <w:rPr>
                <w:rFonts w:ascii="Verdana" w:eastAsia="Times New Roman" w:hAnsi="Verdana" w:cs="Times New Roman"/>
                <w:color w:val="002555"/>
                <w:sz w:val="18"/>
                <w:szCs w:val="18"/>
                <w:highlight w:val="darkGray"/>
              </w:rPr>
              <w:t xml:space="preserve"> (Article 57e) </w:t>
            </w:r>
          </w:p>
        </w:tc>
        <w:tc>
          <w:tcPr>
            <w:tcW w:w="0" w:type="auto"/>
            <w:tcBorders>
              <w:top w:val="single" w:sz="6" w:space="0" w:color="FFFFFF"/>
              <w:left w:val="single" w:sz="6" w:space="0" w:color="FFFFFF"/>
              <w:bottom w:val="single" w:sz="6" w:space="0" w:color="C6D1D7"/>
              <w:right w:val="single" w:sz="6" w:space="0" w:color="C6D1D7"/>
            </w:tcBorders>
            <w:shd w:val="clear" w:color="auto" w:fill="FFFFFF"/>
            <w:tcMar>
              <w:top w:w="75" w:type="dxa"/>
              <w:left w:w="150" w:type="dxa"/>
              <w:bottom w:w="75" w:type="dxa"/>
              <w:right w:w="150" w:type="dxa"/>
            </w:tcMar>
            <w:hideMark/>
          </w:tcPr>
          <w:p w14:paraId="11D95CBE"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Used as a transported intermediate for the manufacture of fine chemicals.</w:t>
            </w:r>
          </w:p>
        </w:tc>
      </w:tr>
      <w:tr w:rsidR="00791F3C" w:rsidRPr="00791F3C" w14:paraId="43E22D73" w14:textId="77777777" w:rsidTr="00791F3C">
        <w:trPr>
          <w:tblCellSpacing w:w="15" w:type="dxa"/>
        </w:trPr>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84E9FDC"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lastRenderedPageBreak/>
              <w:t>6</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B578CD2"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1,7,7-trimethyl-3-(</w:t>
            </w:r>
            <w:proofErr w:type="spellStart"/>
            <w:proofErr w:type="gramStart"/>
            <w:r w:rsidRPr="00A85E68">
              <w:rPr>
                <w:rFonts w:ascii="Verdana" w:eastAsia="Times New Roman" w:hAnsi="Verdana" w:cs="Times New Roman"/>
                <w:color w:val="002555"/>
                <w:sz w:val="18"/>
                <w:szCs w:val="18"/>
                <w:highlight w:val="darkGray"/>
              </w:rPr>
              <w:t>phenylmethylene</w:t>
            </w:r>
            <w:proofErr w:type="spellEnd"/>
            <w:r w:rsidRPr="00A85E68">
              <w:rPr>
                <w:rFonts w:ascii="Verdana" w:eastAsia="Times New Roman" w:hAnsi="Verdana" w:cs="Times New Roman"/>
                <w:color w:val="002555"/>
                <w:sz w:val="18"/>
                <w:szCs w:val="18"/>
                <w:highlight w:val="darkGray"/>
              </w:rPr>
              <w:t>)</w:t>
            </w:r>
            <w:proofErr w:type="spellStart"/>
            <w:r w:rsidRPr="00A85E68">
              <w:rPr>
                <w:rFonts w:ascii="Verdana" w:eastAsia="Times New Roman" w:hAnsi="Verdana" w:cs="Times New Roman"/>
                <w:color w:val="002555"/>
                <w:sz w:val="18"/>
                <w:szCs w:val="18"/>
                <w:highlight w:val="darkGray"/>
              </w:rPr>
              <w:t>bicyclo</w:t>
            </w:r>
            <w:proofErr w:type="spellEnd"/>
            <w:proofErr w:type="gramEnd"/>
            <w:r w:rsidRPr="00A85E68">
              <w:rPr>
                <w:rFonts w:ascii="Verdana" w:eastAsia="Times New Roman" w:hAnsi="Verdana" w:cs="Times New Roman"/>
                <w:color w:val="002555"/>
                <w:sz w:val="18"/>
                <w:szCs w:val="18"/>
                <w:highlight w:val="darkGray"/>
              </w:rPr>
              <w:t>[2.2.1]heptan-2-one </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28C21C39"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239-139-9</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39C17892" w14:textId="77777777" w:rsidR="00791F3C" w:rsidRPr="00A85E68" w:rsidRDefault="00791F3C" w:rsidP="00791F3C">
            <w:pPr>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15087-24-8</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4E3B45EA" w14:textId="77777777" w:rsidR="00791F3C" w:rsidRPr="00A85E68" w:rsidRDefault="00791F3C" w:rsidP="00791F3C">
            <w:pPr>
              <w:spacing w:after="225" w:line="256" w:lineRule="atLeast"/>
              <w:rPr>
                <w:rFonts w:ascii="Verdana" w:eastAsia="Times New Roman" w:hAnsi="Verdana" w:cs="Times New Roman"/>
                <w:color w:val="002555"/>
                <w:sz w:val="18"/>
                <w:szCs w:val="18"/>
                <w:highlight w:val="darkGray"/>
              </w:rPr>
            </w:pPr>
            <w:r w:rsidRPr="00A85E68">
              <w:rPr>
                <w:rFonts w:ascii="Verdana" w:eastAsia="Times New Roman" w:hAnsi="Verdana" w:cs="Times New Roman"/>
                <w:color w:val="002555"/>
                <w:sz w:val="18"/>
                <w:szCs w:val="18"/>
                <w:highlight w:val="darkGray"/>
              </w:rPr>
              <w:t>Endocrine disrupting properties (Article 57(f) - environment)</w:t>
            </w:r>
          </w:p>
        </w:tc>
        <w:tc>
          <w:tcPr>
            <w:tcW w:w="0" w:type="auto"/>
            <w:tcBorders>
              <w:top w:val="single" w:sz="6" w:space="0" w:color="FFFFFF"/>
              <w:left w:val="single" w:sz="6" w:space="0" w:color="FFFFFF"/>
              <w:bottom w:val="single" w:sz="6" w:space="0" w:color="C6D1D7"/>
              <w:right w:val="single" w:sz="6" w:space="0" w:color="C6D1D7"/>
            </w:tcBorders>
            <w:shd w:val="clear" w:color="auto" w:fill="EFEFF0"/>
            <w:tcMar>
              <w:top w:w="75" w:type="dxa"/>
              <w:left w:w="150" w:type="dxa"/>
              <w:bottom w:w="75" w:type="dxa"/>
              <w:right w:w="150" w:type="dxa"/>
            </w:tcMar>
            <w:hideMark/>
          </w:tcPr>
          <w:p w14:paraId="52F609C8" w14:textId="77777777" w:rsidR="00791F3C" w:rsidRPr="00791F3C" w:rsidRDefault="00791F3C" w:rsidP="00791F3C">
            <w:pPr>
              <w:rPr>
                <w:rFonts w:ascii="Verdana" w:eastAsia="Times New Roman" w:hAnsi="Verdana" w:cs="Times New Roman"/>
                <w:color w:val="002555"/>
                <w:sz w:val="18"/>
                <w:szCs w:val="18"/>
              </w:rPr>
            </w:pPr>
            <w:r w:rsidRPr="00A85E68">
              <w:rPr>
                <w:rFonts w:ascii="Verdana" w:eastAsia="Times New Roman" w:hAnsi="Verdana" w:cs="Times New Roman"/>
                <w:color w:val="002555"/>
                <w:sz w:val="18"/>
                <w:szCs w:val="18"/>
                <w:highlight w:val="darkGray"/>
              </w:rPr>
              <w:t>Not yet registered under REACH.</w:t>
            </w:r>
            <w:bookmarkStart w:id="0" w:name="_GoBack"/>
            <w:bookmarkEnd w:id="0"/>
          </w:p>
        </w:tc>
      </w:tr>
    </w:tbl>
    <w:p w14:paraId="56F66EEA"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color w:val="384A53"/>
          <w:sz w:val="20"/>
          <w:szCs w:val="20"/>
        </w:rPr>
        <w:br/>
      </w:r>
      <w:r w:rsidRPr="00A85E68">
        <w:rPr>
          <w:rFonts w:ascii="Verdana" w:eastAsia="Times New Roman" w:hAnsi="Verdana" w:cs="Times New Roman"/>
          <w:color w:val="384A53"/>
          <w:sz w:val="20"/>
          <w:szCs w:val="20"/>
          <w:highlight w:val="yellow"/>
        </w:rPr>
        <w:t xml:space="preserve">Furthermore, one dossier submitter (the German competent authority) decided to withdraw its proposal to identify </w:t>
      </w:r>
      <w:proofErr w:type="spellStart"/>
      <w:r w:rsidRPr="00A85E68">
        <w:rPr>
          <w:rFonts w:ascii="Verdana" w:eastAsia="Times New Roman" w:hAnsi="Verdana" w:cs="Times New Roman"/>
          <w:color w:val="384A53"/>
          <w:sz w:val="20"/>
          <w:szCs w:val="20"/>
          <w:highlight w:val="yellow"/>
        </w:rPr>
        <w:t>undecafluorohexanoic</w:t>
      </w:r>
      <w:proofErr w:type="spellEnd"/>
      <w:r w:rsidRPr="00A85E68">
        <w:rPr>
          <w:rFonts w:ascii="Verdana" w:eastAsia="Times New Roman" w:hAnsi="Verdana" w:cs="Times New Roman"/>
          <w:color w:val="384A53"/>
          <w:sz w:val="20"/>
          <w:szCs w:val="20"/>
          <w:highlight w:val="yellow"/>
        </w:rPr>
        <w:t xml:space="preserve"> acid and its ammonium salt (</w:t>
      </w:r>
      <w:proofErr w:type="spellStart"/>
      <w:r w:rsidRPr="00A85E68">
        <w:rPr>
          <w:rFonts w:ascii="Verdana" w:eastAsia="Times New Roman" w:hAnsi="Verdana" w:cs="Times New Roman"/>
          <w:color w:val="384A53"/>
          <w:sz w:val="20"/>
          <w:szCs w:val="20"/>
          <w:highlight w:val="yellow"/>
        </w:rPr>
        <w:t>PFHxA</w:t>
      </w:r>
      <w:proofErr w:type="spellEnd"/>
      <w:r w:rsidRPr="00A85E68">
        <w:rPr>
          <w:rFonts w:ascii="Verdana" w:eastAsia="Times New Roman" w:hAnsi="Verdana" w:cs="Times New Roman"/>
          <w:color w:val="384A53"/>
          <w:sz w:val="20"/>
          <w:szCs w:val="20"/>
          <w:highlight w:val="yellow"/>
        </w:rPr>
        <w:t>) as an SVHC during the MSC agreement-seeking process.</w:t>
      </w:r>
      <w:r w:rsidRPr="00791F3C">
        <w:rPr>
          <w:rFonts w:ascii="Verdana" w:eastAsia="Times New Roman" w:hAnsi="Verdana" w:cs="Times New Roman"/>
          <w:color w:val="384A53"/>
          <w:sz w:val="20"/>
          <w:szCs w:val="20"/>
        </w:rPr>
        <w:br/>
      </w:r>
      <w:r w:rsidRPr="00791F3C">
        <w:rPr>
          <w:rFonts w:ascii="Verdana" w:eastAsia="Times New Roman" w:hAnsi="Verdana" w:cs="Times New Roman"/>
          <w:color w:val="384A53"/>
          <w:sz w:val="20"/>
          <w:szCs w:val="20"/>
        </w:rPr>
        <w:br/>
        <w:t>Background</w:t>
      </w:r>
    </w:p>
    <w:p w14:paraId="4709F48E"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A85E68">
        <w:rPr>
          <w:rFonts w:ascii="Verdana" w:eastAsia="Times New Roman" w:hAnsi="Verdana" w:cs="Times New Roman"/>
          <w:color w:val="384A53"/>
          <w:sz w:val="20"/>
          <w:szCs w:val="20"/>
          <w:highlight w:val="darkGray"/>
        </w:rPr>
        <w:t xml:space="preserve">The Candidate List is a list of substances that may have serious effects on human health or the environment. Substances on the Candidate List are also known as substances of very high concern and are candidates for eventual inclusion in the </w:t>
      </w:r>
      <w:proofErr w:type="spellStart"/>
      <w:r w:rsidRPr="00A85E68">
        <w:rPr>
          <w:rFonts w:ascii="Verdana" w:eastAsia="Times New Roman" w:hAnsi="Verdana" w:cs="Times New Roman"/>
          <w:color w:val="384A53"/>
          <w:sz w:val="20"/>
          <w:szCs w:val="20"/>
          <w:highlight w:val="darkGray"/>
        </w:rPr>
        <w:t>Authorisation</w:t>
      </w:r>
      <w:proofErr w:type="spellEnd"/>
      <w:r w:rsidRPr="00A85E68">
        <w:rPr>
          <w:rFonts w:ascii="Verdana" w:eastAsia="Times New Roman" w:hAnsi="Verdana" w:cs="Times New Roman"/>
          <w:color w:val="384A53"/>
          <w:sz w:val="20"/>
          <w:szCs w:val="20"/>
          <w:highlight w:val="darkGray"/>
        </w:rPr>
        <w:t xml:space="preserve"> List</w:t>
      </w:r>
      <w:r w:rsidRPr="00791F3C">
        <w:rPr>
          <w:rFonts w:ascii="Verdana" w:eastAsia="Times New Roman" w:hAnsi="Verdana" w:cs="Times New Roman"/>
          <w:color w:val="384A53"/>
          <w:sz w:val="20"/>
          <w:szCs w:val="20"/>
        </w:rPr>
        <w:t xml:space="preserve">. Once they are on the </w:t>
      </w:r>
      <w:proofErr w:type="spellStart"/>
      <w:r w:rsidRPr="00791F3C">
        <w:rPr>
          <w:rFonts w:ascii="Verdana" w:eastAsia="Times New Roman" w:hAnsi="Verdana" w:cs="Times New Roman"/>
          <w:color w:val="384A53"/>
          <w:sz w:val="20"/>
          <w:szCs w:val="20"/>
        </w:rPr>
        <w:t>Authorisation</w:t>
      </w:r>
      <w:proofErr w:type="spellEnd"/>
      <w:r w:rsidRPr="00791F3C">
        <w:rPr>
          <w:rFonts w:ascii="Verdana" w:eastAsia="Times New Roman" w:hAnsi="Verdana" w:cs="Times New Roman"/>
          <w:color w:val="384A53"/>
          <w:sz w:val="20"/>
          <w:szCs w:val="20"/>
        </w:rPr>
        <w:t xml:space="preserve"> List, industry will need to apply for permission to continue using the substance after the sunset date.</w:t>
      </w:r>
    </w:p>
    <w:p w14:paraId="63F7B47D" w14:textId="77777777" w:rsidR="00791F3C" w:rsidRPr="00791F3C" w:rsidRDefault="00791F3C" w:rsidP="00791F3C">
      <w:pPr>
        <w:spacing w:after="225" w:line="277" w:lineRule="atLeast"/>
        <w:rPr>
          <w:rFonts w:ascii="Verdana" w:eastAsia="Times New Roman" w:hAnsi="Verdana" w:cs="Times New Roman"/>
          <w:color w:val="384A53"/>
          <w:sz w:val="20"/>
          <w:szCs w:val="20"/>
        </w:rPr>
      </w:pPr>
      <w:r w:rsidRPr="00791F3C">
        <w:rPr>
          <w:rFonts w:ascii="Verdana" w:eastAsia="Times New Roman" w:hAnsi="Verdana" w:cs="Times New Roman"/>
          <w:color w:val="384A53"/>
          <w:sz w:val="20"/>
          <w:szCs w:val="20"/>
        </w:rPr>
        <w:t xml:space="preserve">Companies may have legal obligations resulting from the inclusion of the substance in the Candidate List. These obligations may apply to the listed substance on its own, in mixtures or in articles. </w:t>
      </w:r>
      <w:r w:rsidRPr="00A85E68">
        <w:rPr>
          <w:rFonts w:ascii="Verdana" w:eastAsia="Times New Roman" w:hAnsi="Verdana" w:cs="Times New Roman"/>
          <w:color w:val="384A53"/>
          <w:sz w:val="20"/>
          <w:szCs w:val="20"/>
          <w:highlight w:val="darkGray"/>
        </w:rPr>
        <w:t>In particular, any supplier of articles containing a Candidate List substance above a concentration of 0.1 % (weight by weight) has communication obligations towards customers down the supply chain and consumers</w:t>
      </w:r>
      <w:r w:rsidRPr="00791F3C">
        <w:rPr>
          <w:rFonts w:ascii="Verdana" w:eastAsia="Times New Roman" w:hAnsi="Verdana" w:cs="Times New Roman"/>
          <w:color w:val="384A53"/>
          <w:sz w:val="20"/>
          <w:szCs w:val="20"/>
        </w:rPr>
        <w:t>. In addition, importers and producers of articles containing the substance have six months from the date of its inclusion in the Candidate List (15 January 2019) to notify ECHA. Information on these obligations and related tools are available on ECHA’s website.</w:t>
      </w:r>
    </w:p>
    <w:p w14:paraId="67D9B88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82"/>
    <w:rsid w:val="00453EED"/>
    <w:rsid w:val="00791F3C"/>
    <w:rsid w:val="00A85E68"/>
    <w:rsid w:val="00BE080D"/>
    <w:rsid w:val="00D5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7BD2B"/>
  <w14:defaultImageDpi w14:val="32767"/>
  <w15:chartTrackingRefBased/>
  <w15:docId w15:val="{FCCD5B1F-F3CB-0647-AA86-BF68FE9B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91F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1F3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1F3C"/>
    <w:rPr>
      <w:b/>
      <w:bCs/>
    </w:rPr>
  </w:style>
  <w:style w:type="character" w:customStyle="1" w:styleId="apple-converted-space">
    <w:name w:val="apple-converted-space"/>
    <w:basedOn w:val="DefaultParagraphFont"/>
    <w:rsid w:val="0079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2020-02-17T11:08:00Z</dcterms:created>
  <dcterms:modified xsi:type="dcterms:W3CDTF">2020-04-13T16:49:00Z</dcterms:modified>
</cp:coreProperties>
</file>