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19B8" w14:textId="77777777" w:rsidR="004E5ACD" w:rsidRPr="004E5ACD" w:rsidRDefault="004E5ACD" w:rsidP="004E5ACD">
      <w:pPr>
        <w:spacing w:after="225"/>
        <w:outlineLvl w:val="1"/>
        <w:rPr>
          <w:rFonts w:ascii="Verdana" w:eastAsia="Times New Roman" w:hAnsi="Verdana" w:cs="Times New Roman"/>
          <w:color w:val="384A53"/>
          <w:sz w:val="29"/>
          <w:szCs w:val="29"/>
        </w:rPr>
      </w:pPr>
      <w:r w:rsidRPr="004E5ACD">
        <w:rPr>
          <w:rFonts w:ascii="Verdana" w:eastAsia="Times New Roman" w:hAnsi="Verdana" w:cs="Times New Roman"/>
          <w:color w:val="384A53"/>
          <w:sz w:val="29"/>
          <w:szCs w:val="29"/>
        </w:rPr>
        <w:t>Four new substances added to the Candidate List</w:t>
      </w:r>
    </w:p>
    <w:p w14:paraId="524D7CF6"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4E5ACD">
        <w:rPr>
          <w:rFonts w:ascii="Verdana" w:eastAsia="Times New Roman" w:hAnsi="Verdana" w:cs="Times New Roman"/>
          <w:color w:val="384A53"/>
          <w:sz w:val="20"/>
          <w:szCs w:val="20"/>
        </w:rPr>
        <w:t>ECHA/PR/19/12</w:t>
      </w:r>
    </w:p>
    <w:p w14:paraId="01BFD066"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4E5ACD">
        <w:rPr>
          <w:rFonts w:ascii="Verdana" w:eastAsia="Times New Roman" w:hAnsi="Verdana" w:cs="Times New Roman"/>
          <w:b/>
          <w:bCs/>
          <w:color w:val="384A53"/>
          <w:sz w:val="20"/>
          <w:szCs w:val="20"/>
        </w:rPr>
        <w:t xml:space="preserve">The Candidate List of substances of very high concern (SVHCs) for </w:t>
      </w:r>
      <w:proofErr w:type="spellStart"/>
      <w:r w:rsidRPr="004E5ACD">
        <w:rPr>
          <w:rFonts w:ascii="Verdana" w:eastAsia="Times New Roman" w:hAnsi="Verdana" w:cs="Times New Roman"/>
          <w:b/>
          <w:bCs/>
          <w:color w:val="384A53"/>
          <w:sz w:val="20"/>
          <w:szCs w:val="20"/>
        </w:rPr>
        <w:t>authorisation</w:t>
      </w:r>
      <w:proofErr w:type="spellEnd"/>
      <w:r w:rsidRPr="004E5ACD">
        <w:rPr>
          <w:rFonts w:ascii="Verdana" w:eastAsia="Times New Roman" w:hAnsi="Verdana" w:cs="Times New Roman"/>
          <w:b/>
          <w:bCs/>
          <w:color w:val="384A53"/>
          <w:sz w:val="20"/>
          <w:szCs w:val="20"/>
        </w:rPr>
        <w:t xml:space="preserve"> now contains 201 substances.</w:t>
      </w:r>
    </w:p>
    <w:p w14:paraId="36AA832A"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4E5ACD">
        <w:rPr>
          <w:rFonts w:ascii="Verdana" w:eastAsia="Times New Roman" w:hAnsi="Verdana" w:cs="Times New Roman"/>
          <w:b/>
          <w:bCs/>
          <w:color w:val="384A53"/>
          <w:sz w:val="20"/>
          <w:szCs w:val="20"/>
        </w:rPr>
        <w:t>Helsinki, 16 July 2019</w:t>
      </w:r>
      <w:r w:rsidRPr="004E5ACD">
        <w:rPr>
          <w:rFonts w:ascii="Verdana" w:eastAsia="Times New Roman" w:hAnsi="Verdana" w:cs="Times New Roman"/>
          <w:color w:val="384A53"/>
          <w:sz w:val="20"/>
          <w:szCs w:val="20"/>
        </w:rPr>
        <w:t xml:space="preserve"> - </w:t>
      </w:r>
      <w:r w:rsidRPr="00BA32A1">
        <w:rPr>
          <w:rFonts w:ascii="Verdana" w:eastAsia="Times New Roman" w:hAnsi="Verdana" w:cs="Times New Roman"/>
          <w:color w:val="384A53"/>
          <w:sz w:val="20"/>
          <w:szCs w:val="20"/>
          <w:highlight w:val="lightGray"/>
        </w:rPr>
        <w:t>ECHA has added four new substances to the Candidate List due to their toxicity to reproduction, endocrine disruption and a combination of other properties of concern.</w:t>
      </w:r>
      <w:r w:rsidRPr="004E5ACD">
        <w:rPr>
          <w:rFonts w:ascii="Verdana" w:eastAsia="Times New Roman" w:hAnsi="Verdana" w:cs="Times New Roman"/>
          <w:color w:val="384A53"/>
          <w:sz w:val="20"/>
          <w:szCs w:val="20"/>
        </w:rPr>
        <w:t xml:space="preserve"> </w:t>
      </w:r>
      <w:r w:rsidRPr="00BA32A1">
        <w:rPr>
          <w:rFonts w:ascii="Verdana" w:eastAsia="Times New Roman" w:hAnsi="Verdana" w:cs="Times New Roman"/>
          <w:color w:val="384A53"/>
          <w:sz w:val="20"/>
          <w:szCs w:val="20"/>
          <w:highlight w:val="darkGray"/>
        </w:rPr>
        <w:t xml:space="preserve">The latter causes probable serious effects to human health and the environment, giving rise to an equivalent level of concern to carcinogenic, mutagenic and reprotoxic (CMR), persistent, </w:t>
      </w:r>
      <w:proofErr w:type="spellStart"/>
      <w:r w:rsidRPr="00BA32A1">
        <w:rPr>
          <w:rFonts w:ascii="Verdana" w:eastAsia="Times New Roman" w:hAnsi="Verdana" w:cs="Times New Roman"/>
          <w:color w:val="384A53"/>
          <w:sz w:val="20"/>
          <w:szCs w:val="20"/>
          <w:highlight w:val="darkGray"/>
        </w:rPr>
        <w:t>bioaccumulative</w:t>
      </w:r>
      <w:proofErr w:type="spellEnd"/>
      <w:r w:rsidRPr="00BA32A1">
        <w:rPr>
          <w:rFonts w:ascii="Verdana" w:eastAsia="Times New Roman" w:hAnsi="Verdana" w:cs="Times New Roman"/>
          <w:color w:val="384A53"/>
          <w:sz w:val="20"/>
          <w:szCs w:val="20"/>
          <w:highlight w:val="darkGray"/>
        </w:rPr>
        <w:t xml:space="preserve"> and toxic (PBT) and very persistent and very </w:t>
      </w:r>
      <w:proofErr w:type="spellStart"/>
      <w:r w:rsidRPr="00BA32A1">
        <w:rPr>
          <w:rFonts w:ascii="Verdana" w:eastAsia="Times New Roman" w:hAnsi="Verdana" w:cs="Times New Roman"/>
          <w:color w:val="384A53"/>
          <w:sz w:val="20"/>
          <w:szCs w:val="20"/>
          <w:highlight w:val="darkGray"/>
        </w:rPr>
        <w:t>bioaccumulative</w:t>
      </w:r>
      <w:proofErr w:type="spellEnd"/>
      <w:r w:rsidRPr="00BA32A1">
        <w:rPr>
          <w:rFonts w:ascii="Verdana" w:eastAsia="Times New Roman" w:hAnsi="Verdana" w:cs="Times New Roman"/>
          <w:color w:val="384A53"/>
          <w:sz w:val="20"/>
          <w:szCs w:val="20"/>
          <w:highlight w:val="darkGray"/>
        </w:rPr>
        <w:t xml:space="preserve"> (</w:t>
      </w:r>
      <w:proofErr w:type="spellStart"/>
      <w:r w:rsidRPr="00BA32A1">
        <w:rPr>
          <w:rFonts w:ascii="Verdana" w:eastAsia="Times New Roman" w:hAnsi="Verdana" w:cs="Times New Roman"/>
          <w:color w:val="384A53"/>
          <w:sz w:val="20"/>
          <w:szCs w:val="20"/>
          <w:highlight w:val="darkGray"/>
        </w:rPr>
        <w:t>vPvB</w:t>
      </w:r>
      <w:proofErr w:type="spellEnd"/>
      <w:r w:rsidRPr="00BA32A1">
        <w:rPr>
          <w:rFonts w:ascii="Verdana" w:eastAsia="Times New Roman" w:hAnsi="Verdana" w:cs="Times New Roman"/>
          <w:color w:val="384A53"/>
          <w:sz w:val="20"/>
          <w:szCs w:val="20"/>
          <w:highlight w:val="darkGray"/>
        </w:rPr>
        <w:t>) substances, respectively.</w:t>
      </w:r>
    </w:p>
    <w:p w14:paraId="4676BF3F"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4E5ACD">
        <w:rPr>
          <w:rFonts w:ascii="Verdana" w:eastAsia="Times New Roman" w:hAnsi="Verdana" w:cs="Times New Roman"/>
          <w:color w:val="384A53"/>
          <w:sz w:val="20"/>
          <w:szCs w:val="20"/>
        </w:rPr>
        <w:t>The decision to include two of the substances, number 2 and 3 in the table below, was taken with the involvement of the Member State Committee (MSC).</w:t>
      </w:r>
    </w:p>
    <w:p w14:paraId="5493AE53"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4E5ACD">
        <w:rPr>
          <w:rFonts w:ascii="Verdana" w:eastAsia="Times New Roman" w:hAnsi="Verdana" w:cs="Times New Roman"/>
          <w:color w:val="384A53"/>
          <w:sz w:val="20"/>
          <w:szCs w:val="20"/>
        </w:rPr>
        <w:t>One further substance, the last in the table below, has been added to the list having been identified as an SVHC by the European Commission due to its endocrine-disrupting properties. The MSC referred this SVHC proposal to the Commission in 2016.</w:t>
      </w:r>
    </w:p>
    <w:p w14:paraId="40938935"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4E5ACD">
        <w:rPr>
          <w:rFonts w:ascii="Verdana" w:eastAsia="Times New Roman" w:hAnsi="Verdana" w:cs="Times New Roman"/>
          <w:color w:val="384A53"/>
          <w:sz w:val="20"/>
          <w:szCs w:val="20"/>
        </w:rPr>
        <w:t xml:space="preserve">Substances included in the Candidate List for </w:t>
      </w:r>
      <w:proofErr w:type="spellStart"/>
      <w:r w:rsidRPr="004E5ACD">
        <w:rPr>
          <w:rFonts w:ascii="Verdana" w:eastAsia="Times New Roman" w:hAnsi="Verdana" w:cs="Times New Roman"/>
          <w:color w:val="384A53"/>
          <w:sz w:val="20"/>
          <w:szCs w:val="20"/>
        </w:rPr>
        <w:t>authorisation</w:t>
      </w:r>
      <w:proofErr w:type="spellEnd"/>
      <w:r w:rsidRPr="004E5ACD">
        <w:rPr>
          <w:rFonts w:ascii="Verdana" w:eastAsia="Times New Roman" w:hAnsi="Verdana" w:cs="Times New Roman"/>
          <w:color w:val="384A53"/>
          <w:sz w:val="20"/>
          <w:szCs w:val="20"/>
        </w:rPr>
        <w:t xml:space="preserve"> on 16 July 2019 and their SVHC properties:</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532"/>
        <w:gridCol w:w="4578"/>
        <w:gridCol w:w="1183"/>
        <w:gridCol w:w="1202"/>
        <w:gridCol w:w="2706"/>
        <w:gridCol w:w="2474"/>
      </w:tblGrid>
      <w:tr w:rsidR="004E5ACD" w:rsidRPr="00BA32A1" w14:paraId="681124C8" w14:textId="77777777" w:rsidTr="004E5ACD">
        <w:trPr>
          <w:tblCellSpacing w:w="15" w:type="dxa"/>
        </w:trPr>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77039509" w14:textId="77777777" w:rsidR="004E5ACD" w:rsidRPr="00BA32A1" w:rsidRDefault="004E5ACD" w:rsidP="004E5ACD">
            <w:pPr>
              <w:spacing w:before="225"/>
              <w:rPr>
                <w:rFonts w:ascii="Verdana" w:eastAsia="Times New Roman" w:hAnsi="Verdana" w:cs="Times New Roman"/>
                <w:b/>
                <w:bCs/>
                <w:color w:val="113460"/>
                <w:sz w:val="18"/>
                <w:szCs w:val="18"/>
                <w:highlight w:val="darkGray"/>
              </w:rPr>
            </w:pPr>
            <w:r w:rsidRPr="00BA32A1">
              <w:rPr>
                <w:rFonts w:ascii="Verdana" w:eastAsia="Times New Roman" w:hAnsi="Verdana" w:cs="Times New Roman"/>
                <w:b/>
                <w:bCs/>
                <w:color w:val="113460"/>
                <w:sz w:val="18"/>
                <w:szCs w:val="18"/>
                <w:highlight w:val="darkGray"/>
              </w:rPr>
              <w:t>#</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5F7971DA" w14:textId="77777777" w:rsidR="004E5ACD" w:rsidRPr="00BA32A1" w:rsidRDefault="004E5ACD" w:rsidP="004E5ACD">
            <w:pPr>
              <w:spacing w:before="225"/>
              <w:rPr>
                <w:rFonts w:ascii="Verdana" w:eastAsia="Times New Roman" w:hAnsi="Verdana" w:cs="Times New Roman"/>
                <w:b/>
                <w:bCs/>
                <w:color w:val="113460"/>
                <w:sz w:val="18"/>
                <w:szCs w:val="18"/>
                <w:highlight w:val="darkGray"/>
              </w:rPr>
            </w:pPr>
            <w:r w:rsidRPr="00BA32A1">
              <w:rPr>
                <w:rFonts w:ascii="Verdana" w:eastAsia="Times New Roman" w:hAnsi="Verdana" w:cs="Times New Roman"/>
                <w:b/>
                <w:bCs/>
                <w:color w:val="113460"/>
                <w:sz w:val="18"/>
                <w:szCs w:val="18"/>
                <w:highlight w:val="darkGray"/>
              </w:rPr>
              <w:t>Substance name</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5111B480" w14:textId="77777777" w:rsidR="004E5ACD" w:rsidRPr="00BA32A1" w:rsidRDefault="004E5ACD" w:rsidP="004E5ACD">
            <w:pPr>
              <w:spacing w:before="225"/>
              <w:rPr>
                <w:rFonts w:ascii="Verdana" w:eastAsia="Times New Roman" w:hAnsi="Verdana" w:cs="Times New Roman"/>
                <w:b/>
                <w:bCs/>
                <w:color w:val="113460"/>
                <w:sz w:val="18"/>
                <w:szCs w:val="18"/>
                <w:highlight w:val="darkGray"/>
              </w:rPr>
            </w:pPr>
            <w:r w:rsidRPr="00BA32A1">
              <w:rPr>
                <w:rFonts w:ascii="Verdana" w:eastAsia="Times New Roman" w:hAnsi="Verdana" w:cs="Times New Roman"/>
                <w:b/>
                <w:bCs/>
                <w:color w:val="113460"/>
                <w:sz w:val="18"/>
                <w:szCs w:val="18"/>
                <w:highlight w:val="darkGray"/>
              </w:rPr>
              <w:t>EC number</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2F467974" w14:textId="77777777" w:rsidR="004E5ACD" w:rsidRPr="00BA32A1" w:rsidRDefault="004E5ACD" w:rsidP="004E5ACD">
            <w:pPr>
              <w:spacing w:before="225"/>
              <w:rPr>
                <w:rFonts w:ascii="Verdana" w:eastAsia="Times New Roman" w:hAnsi="Verdana" w:cs="Times New Roman"/>
                <w:b/>
                <w:bCs/>
                <w:color w:val="113460"/>
                <w:sz w:val="18"/>
                <w:szCs w:val="18"/>
                <w:highlight w:val="darkGray"/>
              </w:rPr>
            </w:pPr>
            <w:r w:rsidRPr="00BA32A1">
              <w:rPr>
                <w:rFonts w:ascii="Verdana" w:eastAsia="Times New Roman" w:hAnsi="Verdana" w:cs="Times New Roman"/>
                <w:b/>
                <w:bCs/>
                <w:color w:val="113460"/>
                <w:sz w:val="18"/>
                <w:szCs w:val="18"/>
                <w:highlight w:val="darkGray"/>
              </w:rPr>
              <w:t>CAS number</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3DAE20A5" w14:textId="77777777" w:rsidR="004E5ACD" w:rsidRPr="00BA32A1" w:rsidRDefault="004E5ACD" w:rsidP="004E5ACD">
            <w:pPr>
              <w:spacing w:before="225"/>
              <w:rPr>
                <w:rFonts w:ascii="Verdana" w:eastAsia="Times New Roman" w:hAnsi="Verdana" w:cs="Times New Roman"/>
                <w:b/>
                <w:bCs/>
                <w:color w:val="113460"/>
                <w:sz w:val="18"/>
                <w:szCs w:val="18"/>
                <w:highlight w:val="darkGray"/>
              </w:rPr>
            </w:pPr>
            <w:r w:rsidRPr="00BA32A1">
              <w:rPr>
                <w:rFonts w:ascii="Verdana" w:eastAsia="Times New Roman" w:hAnsi="Verdana" w:cs="Times New Roman"/>
                <w:b/>
                <w:bCs/>
                <w:color w:val="113460"/>
                <w:sz w:val="18"/>
                <w:szCs w:val="18"/>
                <w:highlight w:val="darkGray"/>
              </w:rPr>
              <w:t>Reason for inclusion</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5C273B0C" w14:textId="77777777" w:rsidR="004E5ACD" w:rsidRPr="00BA32A1" w:rsidRDefault="004E5ACD" w:rsidP="004E5ACD">
            <w:pPr>
              <w:spacing w:before="225"/>
              <w:rPr>
                <w:rFonts w:ascii="Verdana" w:eastAsia="Times New Roman" w:hAnsi="Verdana" w:cs="Times New Roman"/>
                <w:b/>
                <w:bCs/>
                <w:color w:val="113460"/>
                <w:sz w:val="18"/>
                <w:szCs w:val="18"/>
                <w:highlight w:val="darkGray"/>
              </w:rPr>
            </w:pPr>
            <w:r w:rsidRPr="00BA32A1">
              <w:rPr>
                <w:rFonts w:ascii="Verdana" w:eastAsia="Times New Roman" w:hAnsi="Verdana" w:cs="Times New Roman"/>
                <w:b/>
                <w:bCs/>
                <w:color w:val="113460"/>
                <w:sz w:val="18"/>
                <w:szCs w:val="18"/>
                <w:highlight w:val="darkGray"/>
              </w:rPr>
              <w:t>Examples of use(s)</w:t>
            </w:r>
          </w:p>
        </w:tc>
      </w:tr>
      <w:tr w:rsidR="004E5ACD" w:rsidRPr="00BA32A1" w14:paraId="70BEFEF6" w14:textId="77777777" w:rsidTr="004E5ACD">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74BCFC4C" w14:textId="77777777" w:rsidR="004E5ACD" w:rsidRPr="00BA32A1" w:rsidRDefault="004E5ACD" w:rsidP="004E5ACD">
            <w:pPr>
              <w:spacing w:before="225"/>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1</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127E22E" w14:textId="77777777" w:rsidR="004E5ACD" w:rsidRPr="00BA32A1" w:rsidRDefault="004E5ACD" w:rsidP="004E5ACD">
            <w:pPr>
              <w:spacing w:before="225"/>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2-methoxyethyl acetate</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421CA7D9" w14:textId="77777777" w:rsidR="004E5ACD" w:rsidRPr="00BA32A1" w:rsidRDefault="004E5ACD" w:rsidP="004E5ACD">
            <w:pPr>
              <w:spacing w:before="225"/>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203-772-9</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605FFEF4" w14:textId="77777777" w:rsidR="004E5ACD" w:rsidRPr="00BA32A1" w:rsidRDefault="004E5ACD" w:rsidP="004E5ACD">
            <w:pPr>
              <w:spacing w:before="225"/>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110-49-6</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5DC4CFA6" w14:textId="77777777" w:rsidR="004E5ACD" w:rsidRPr="00BA32A1" w:rsidRDefault="004E5ACD" w:rsidP="004E5ACD">
            <w:pPr>
              <w:spacing w:after="225" w:line="256" w:lineRule="atLeast"/>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Toxic for reproduction (Article 57 (c))</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625EFA8E"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Not registered under REACH.</w:t>
            </w:r>
          </w:p>
        </w:tc>
      </w:tr>
      <w:tr w:rsidR="004E5ACD" w:rsidRPr="00BA32A1" w14:paraId="4E85D8CD" w14:textId="77777777" w:rsidTr="004E5ACD">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6A481A5A"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2</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6B27D99E" w14:textId="77777777" w:rsidR="004E5ACD" w:rsidRPr="00BA32A1" w:rsidRDefault="004E5ACD" w:rsidP="004E5ACD">
            <w:pPr>
              <w:rPr>
                <w:rFonts w:ascii="Verdana" w:eastAsia="Times New Roman" w:hAnsi="Verdana" w:cs="Times New Roman"/>
                <w:color w:val="002555"/>
                <w:sz w:val="18"/>
                <w:szCs w:val="18"/>
                <w:highlight w:val="darkGray"/>
              </w:rPr>
            </w:pPr>
            <w:proofErr w:type="gramStart"/>
            <w:r w:rsidRPr="00BA32A1">
              <w:rPr>
                <w:rFonts w:ascii="Verdana" w:eastAsia="Times New Roman" w:hAnsi="Verdana" w:cs="Times New Roman"/>
                <w:color w:val="002555"/>
                <w:sz w:val="18"/>
                <w:szCs w:val="18"/>
                <w:highlight w:val="darkGray"/>
              </w:rPr>
              <w:t>Tris(</w:t>
            </w:r>
            <w:proofErr w:type="gramEnd"/>
            <w:r w:rsidRPr="00BA32A1">
              <w:rPr>
                <w:rFonts w:ascii="Verdana" w:eastAsia="Times New Roman" w:hAnsi="Verdana" w:cs="Times New Roman"/>
                <w:color w:val="002555"/>
                <w:sz w:val="18"/>
                <w:szCs w:val="18"/>
                <w:highlight w:val="darkGray"/>
              </w:rPr>
              <w:t xml:space="preserve">4-nonylphenyl, branched and linear) </w:t>
            </w:r>
            <w:proofErr w:type="spellStart"/>
            <w:r w:rsidRPr="00BA32A1">
              <w:rPr>
                <w:rFonts w:ascii="Verdana" w:eastAsia="Times New Roman" w:hAnsi="Verdana" w:cs="Times New Roman"/>
                <w:color w:val="002555"/>
                <w:sz w:val="18"/>
                <w:szCs w:val="18"/>
                <w:highlight w:val="darkGray"/>
              </w:rPr>
              <w:t>phosphite</w:t>
            </w:r>
            <w:proofErr w:type="spellEnd"/>
            <w:r w:rsidRPr="00BA32A1">
              <w:rPr>
                <w:rFonts w:ascii="Verdana" w:eastAsia="Times New Roman" w:hAnsi="Verdana" w:cs="Times New Roman"/>
                <w:color w:val="002555"/>
                <w:sz w:val="18"/>
                <w:szCs w:val="18"/>
                <w:highlight w:val="darkGray"/>
              </w:rPr>
              <w:t xml:space="preserve"> (TNPP) with ≥ 0.1% w/w of 4-nonylphenol, branched and linear (4-NP)</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72D463F4"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590B74A9"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27875C53" w14:textId="77777777" w:rsidR="004E5ACD" w:rsidRPr="00BA32A1" w:rsidRDefault="004E5ACD" w:rsidP="004E5ACD">
            <w:pPr>
              <w:spacing w:after="225" w:line="256" w:lineRule="atLeast"/>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Endocrine disrupting properties (Article 57(f) – environment)</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0EEDA955"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 xml:space="preserve">Primarily used as an antioxidant to </w:t>
            </w:r>
            <w:proofErr w:type="spellStart"/>
            <w:r w:rsidRPr="00BA32A1">
              <w:rPr>
                <w:rFonts w:ascii="Verdana" w:eastAsia="Times New Roman" w:hAnsi="Verdana" w:cs="Times New Roman"/>
                <w:color w:val="002555"/>
                <w:sz w:val="18"/>
                <w:szCs w:val="18"/>
                <w:highlight w:val="darkGray"/>
              </w:rPr>
              <w:t>stabilise</w:t>
            </w:r>
            <w:proofErr w:type="spellEnd"/>
            <w:r w:rsidRPr="00BA32A1">
              <w:rPr>
                <w:rFonts w:ascii="Verdana" w:eastAsia="Times New Roman" w:hAnsi="Verdana" w:cs="Times New Roman"/>
                <w:color w:val="002555"/>
                <w:sz w:val="18"/>
                <w:szCs w:val="18"/>
                <w:highlight w:val="darkGray"/>
              </w:rPr>
              <w:t xml:space="preserve"> polymers.</w:t>
            </w:r>
          </w:p>
        </w:tc>
      </w:tr>
      <w:tr w:rsidR="004E5ACD" w:rsidRPr="00BA32A1" w14:paraId="16F54844" w14:textId="77777777" w:rsidTr="004E5ACD">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7FDB0FC7"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3</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1F9474C"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2,3,3,3-tetrafluoro-2-(</w:t>
            </w:r>
            <w:proofErr w:type="spellStart"/>
            <w:r w:rsidRPr="00BA32A1">
              <w:rPr>
                <w:rFonts w:ascii="Verdana" w:eastAsia="Times New Roman" w:hAnsi="Verdana" w:cs="Times New Roman"/>
                <w:color w:val="002555"/>
                <w:sz w:val="18"/>
                <w:szCs w:val="18"/>
                <w:highlight w:val="darkGray"/>
              </w:rPr>
              <w:t>heptafluoropropoxy</w:t>
            </w:r>
            <w:proofErr w:type="spellEnd"/>
            <w:r w:rsidRPr="00BA32A1">
              <w:rPr>
                <w:rFonts w:ascii="Verdana" w:eastAsia="Times New Roman" w:hAnsi="Verdana" w:cs="Times New Roman"/>
                <w:color w:val="002555"/>
                <w:sz w:val="18"/>
                <w:szCs w:val="18"/>
                <w:highlight w:val="darkGray"/>
              </w:rPr>
              <w:t>)propionic acid, its salts and its acyl halides (covering any of their individual isomers and combinations thereof)</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2330E7C8"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2638ADD6"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6771BDD6" w14:textId="77777777" w:rsidR="004E5ACD" w:rsidRPr="00BA32A1" w:rsidRDefault="004E5ACD" w:rsidP="004E5ACD">
            <w:pPr>
              <w:spacing w:after="225" w:line="256" w:lineRule="atLeast"/>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Equivalent level of concern having probable serious effects to the environment (Article 57(f) - environment)</w:t>
            </w:r>
          </w:p>
          <w:p w14:paraId="118CA571" w14:textId="77777777" w:rsidR="004E5ACD" w:rsidRPr="00BA32A1" w:rsidRDefault="004E5ACD" w:rsidP="004E5ACD">
            <w:pPr>
              <w:spacing w:after="225" w:line="256" w:lineRule="atLeast"/>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Equivalent level of concern having probable serious effects to human health (Article 57(f) – human health)</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5BB3ACB3"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Processing aid in the production of fluorinated polymers.</w:t>
            </w:r>
          </w:p>
        </w:tc>
      </w:tr>
      <w:tr w:rsidR="004E5ACD" w:rsidRPr="004E5ACD" w14:paraId="3B511066" w14:textId="77777777" w:rsidTr="004E5ACD">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5AE20822"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lastRenderedPageBreak/>
              <w:t>4</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2C5ED95E"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4-tert-butylphenol</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4DC5BCE5"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202-679-0</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35EC7D8D"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98-54-4</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4C995454" w14:textId="77777777" w:rsidR="004E5ACD" w:rsidRPr="00BA32A1" w:rsidRDefault="004E5ACD" w:rsidP="004E5ACD">
            <w:pPr>
              <w:rPr>
                <w:rFonts w:ascii="Verdana" w:eastAsia="Times New Roman" w:hAnsi="Verdana" w:cs="Times New Roman"/>
                <w:color w:val="002555"/>
                <w:sz w:val="18"/>
                <w:szCs w:val="18"/>
                <w:highlight w:val="darkGray"/>
              </w:rPr>
            </w:pPr>
            <w:r w:rsidRPr="00BA32A1">
              <w:rPr>
                <w:rFonts w:ascii="Verdana" w:eastAsia="Times New Roman" w:hAnsi="Verdana" w:cs="Times New Roman"/>
                <w:color w:val="002555"/>
                <w:sz w:val="18"/>
                <w:szCs w:val="18"/>
                <w:highlight w:val="darkGray"/>
              </w:rPr>
              <w:t>Endocrine disrupting properties (Article 57(f) – environment)</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3144E6A5" w14:textId="77777777" w:rsidR="004E5ACD" w:rsidRPr="004E5ACD" w:rsidRDefault="004E5ACD" w:rsidP="004E5ACD">
            <w:pPr>
              <w:rPr>
                <w:rFonts w:ascii="Verdana" w:eastAsia="Times New Roman" w:hAnsi="Verdana" w:cs="Times New Roman"/>
                <w:color w:val="002555"/>
                <w:sz w:val="18"/>
                <w:szCs w:val="18"/>
              </w:rPr>
            </w:pPr>
            <w:r w:rsidRPr="00BA32A1">
              <w:rPr>
                <w:rFonts w:ascii="Verdana" w:eastAsia="Times New Roman" w:hAnsi="Verdana" w:cs="Times New Roman"/>
                <w:color w:val="002555"/>
                <w:sz w:val="18"/>
                <w:szCs w:val="18"/>
                <w:highlight w:val="darkGray"/>
              </w:rPr>
              <w:t>Used in coating products, polymers, adhesives, sealants and for the synthesis of other substances.</w:t>
            </w:r>
          </w:p>
        </w:tc>
      </w:tr>
      <w:tr w:rsidR="004E5ACD" w:rsidRPr="004E5ACD" w14:paraId="26CFF4BB" w14:textId="77777777" w:rsidTr="004E5ACD">
        <w:trPr>
          <w:tblCellSpacing w:w="15" w:type="dxa"/>
        </w:trPr>
        <w:tc>
          <w:tcPr>
            <w:tcW w:w="0" w:type="auto"/>
            <w:shd w:val="clear" w:color="auto" w:fill="auto"/>
            <w:vAlign w:val="center"/>
            <w:hideMark/>
          </w:tcPr>
          <w:p w14:paraId="2FEEE555" w14:textId="77777777" w:rsidR="004E5ACD" w:rsidRPr="004E5ACD" w:rsidRDefault="004E5ACD" w:rsidP="004E5ACD">
            <w:pPr>
              <w:rPr>
                <w:rFonts w:ascii="Verdana" w:eastAsia="Times New Roman" w:hAnsi="Verdana" w:cs="Times New Roman"/>
                <w:color w:val="002555"/>
                <w:sz w:val="18"/>
                <w:szCs w:val="18"/>
              </w:rPr>
            </w:pPr>
          </w:p>
        </w:tc>
        <w:tc>
          <w:tcPr>
            <w:tcW w:w="0" w:type="auto"/>
            <w:shd w:val="clear" w:color="auto" w:fill="auto"/>
            <w:vAlign w:val="center"/>
            <w:hideMark/>
          </w:tcPr>
          <w:p w14:paraId="7AE0C445" w14:textId="77777777" w:rsidR="004E5ACD" w:rsidRPr="004E5ACD" w:rsidRDefault="004E5ACD" w:rsidP="004E5ACD">
            <w:pPr>
              <w:rPr>
                <w:rFonts w:ascii="Times New Roman" w:eastAsia="Times New Roman" w:hAnsi="Times New Roman" w:cs="Times New Roman"/>
                <w:sz w:val="20"/>
                <w:szCs w:val="20"/>
              </w:rPr>
            </w:pPr>
          </w:p>
        </w:tc>
        <w:tc>
          <w:tcPr>
            <w:tcW w:w="0" w:type="auto"/>
            <w:shd w:val="clear" w:color="auto" w:fill="auto"/>
            <w:vAlign w:val="center"/>
            <w:hideMark/>
          </w:tcPr>
          <w:p w14:paraId="1BD67578" w14:textId="77777777" w:rsidR="004E5ACD" w:rsidRPr="004E5ACD" w:rsidRDefault="004E5ACD" w:rsidP="004E5ACD">
            <w:pPr>
              <w:rPr>
                <w:rFonts w:ascii="Times New Roman" w:eastAsia="Times New Roman" w:hAnsi="Times New Roman" w:cs="Times New Roman"/>
                <w:sz w:val="20"/>
                <w:szCs w:val="20"/>
              </w:rPr>
            </w:pPr>
          </w:p>
        </w:tc>
        <w:tc>
          <w:tcPr>
            <w:tcW w:w="0" w:type="auto"/>
            <w:shd w:val="clear" w:color="auto" w:fill="auto"/>
            <w:vAlign w:val="center"/>
            <w:hideMark/>
          </w:tcPr>
          <w:p w14:paraId="0D652D60" w14:textId="77777777" w:rsidR="004E5ACD" w:rsidRPr="004E5ACD" w:rsidRDefault="004E5ACD" w:rsidP="004E5ACD">
            <w:pPr>
              <w:rPr>
                <w:rFonts w:ascii="Times New Roman" w:eastAsia="Times New Roman" w:hAnsi="Times New Roman" w:cs="Times New Roman"/>
                <w:sz w:val="20"/>
                <w:szCs w:val="20"/>
              </w:rPr>
            </w:pPr>
          </w:p>
        </w:tc>
        <w:tc>
          <w:tcPr>
            <w:tcW w:w="0" w:type="auto"/>
            <w:shd w:val="clear" w:color="auto" w:fill="auto"/>
            <w:vAlign w:val="center"/>
            <w:hideMark/>
          </w:tcPr>
          <w:p w14:paraId="7D8A78DD" w14:textId="77777777" w:rsidR="004E5ACD" w:rsidRPr="004E5ACD" w:rsidRDefault="004E5ACD" w:rsidP="004E5ACD">
            <w:pPr>
              <w:rPr>
                <w:rFonts w:ascii="Times New Roman" w:eastAsia="Times New Roman" w:hAnsi="Times New Roman" w:cs="Times New Roman"/>
                <w:sz w:val="20"/>
                <w:szCs w:val="20"/>
              </w:rPr>
            </w:pPr>
          </w:p>
        </w:tc>
        <w:tc>
          <w:tcPr>
            <w:tcW w:w="0" w:type="auto"/>
            <w:shd w:val="clear" w:color="auto" w:fill="auto"/>
            <w:vAlign w:val="center"/>
            <w:hideMark/>
          </w:tcPr>
          <w:p w14:paraId="444BB0F1" w14:textId="77777777" w:rsidR="004E5ACD" w:rsidRPr="004E5ACD" w:rsidRDefault="004E5ACD" w:rsidP="004E5ACD">
            <w:pPr>
              <w:rPr>
                <w:rFonts w:ascii="Times New Roman" w:eastAsia="Times New Roman" w:hAnsi="Times New Roman" w:cs="Times New Roman"/>
                <w:sz w:val="20"/>
                <w:szCs w:val="20"/>
              </w:rPr>
            </w:pPr>
          </w:p>
        </w:tc>
      </w:tr>
    </w:tbl>
    <w:p w14:paraId="12EC61FC"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4E5ACD">
        <w:rPr>
          <w:rFonts w:ascii="Verdana" w:eastAsia="Times New Roman" w:hAnsi="Verdana" w:cs="Times New Roman"/>
          <w:color w:val="384A53"/>
          <w:sz w:val="20"/>
          <w:szCs w:val="20"/>
        </w:rPr>
        <w:t> </w:t>
      </w:r>
    </w:p>
    <w:p w14:paraId="1177AEEE"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4E5ACD">
        <w:rPr>
          <w:rFonts w:ascii="Verdana" w:eastAsia="Times New Roman" w:hAnsi="Verdana" w:cs="Times New Roman"/>
          <w:b/>
          <w:bCs/>
          <w:color w:val="384A53"/>
          <w:sz w:val="20"/>
          <w:szCs w:val="20"/>
        </w:rPr>
        <w:t>Background</w:t>
      </w:r>
    </w:p>
    <w:p w14:paraId="377EA4A6"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BA32A1">
        <w:rPr>
          <w:rFonts w:ascii="Verdana" w:eastAsia="Times New Roman" w:hAnsi="Verdana" w:cs="Times New Roman"/>
          <w:color w:val="384A53"/>
          <w:sz w:val="20"/>
          <w:szCs w:val="20"/>
          <w:highlight w:val="lightGray"/>
        </w:rPr>
        <w:t xml:space="preserve">The Candidate List is a list of substances that may have serious effects on human health or the environment. Substances on the Candidate List are also known as substances of very high concern and are candidates for eventual inclusion in the </w:t>
      </w:r>
      <w:proofErr w:type="spellStart"/>
      <w:r w:rsidRPr="00BA32A1">
        <w:rPr>
          <w:rFonts w:ascii="Verdana" w:eastAsia="Times New Roman" w:hAnsi="Verdana" w:cs="Times New Roman"/>
          <w:color w:val="384A53"/>
          <w:sz w:val="20"/>
          <w:szCs w:val="20"/>
          <w:highlight w:val="lightGray"/>
        </w:rPr>
        <w:t>Authorisation</w:t>
      </w:r>
      <w:proofErr w:type="spellEnd"/>
      <w:r w:rsidRPr="00BA32A1">
        <w:rPr>
          <w:rFonts w:ascii="Verdana" w:eastAsia="Times New Roman" w:hAnsi="Verdana" w:cs="Times New Roman"/>
          <w:color w:val="384A53"/>
          <w:sz w:val="20"/>
          <w:szCs w:val="20"/>
          <w:highlight w:val="lightGray"/>
        </w:rPr>
        <w:t xml:space="preserve"> List. Once they are on the </w:t>
      </w:r>
      <w:proofErr w:type="spellStart"/>
      <w:r w:rsidRPr="00BA32A1">
        <w:rPr>
          <w:rFonts w:ascii="Verdana" w:eastAsia="Times New Roman" w:hAnsi="Verdana" w:cs="Times New Roman"/>
          <w:color w:val="384A53"/>
          <w:sz w:val="20"/>
          <w:szCs w:val="20"/>
          <w:highlight w:val="lightGray"/>
        </w:rPr>
        <w:t>Authorisation</w:t>
      </w:r>
      <w:proofErr w:type="spellEnd"/>
      <w:r w:rsidRPr="00BA32A1">
        <w:rPr>
          <w:rFonts w:ascii="Verdana" w:eastAsia="Times New Roman" w:hAnsi="Verdana" w:cs="Times New Roman"/>
          <w:color w:val="384A53"/>
          <w:sz w:val="20"/>
          <w:szCs w:val="20"/>
          <w:highlight w:val="lightGray"/>
        </w:rPr>
        <w:t xml:space="preserve"> List, industry will need to apply for permission to continue using the substance after the sunset date.</w:t>
      </w:r>
    </w:p>
    <w:p w14:paraId="107F3306" w14:textId="77777777" w:rsidR="004E5ACD" w:rsidRPr="004E5ACD" w:rsidRDefault="004E5ACD" w:rsidP="004E5ACD">
      <w:pPr>
        <w:spacing w:after="225" w:line="277" w:lineRule="atLeast"/>
        <w:rPr>
          <w:rFonts w:ascii="Verdana" w:eastAsia="Times New Roman" w:hAnsi="Verdana" w:cs="Times New Roman"/>
          <w:color w:val="384A53"/>
          <w:sz w:val="20"/>
          <w:szCs w:val="20"/>
        </w:rPr>
      </w:pPr>
      <w:r w:rsidRPr="00BA32A1">
        <w:rPr>
          <w:rFonts w:ascii="Verdana" w:eastAsia="Times New Roman" w:hAnsi="Verdana" w:cs="Times New Roman"/>
          <w:color w:val="384A53"/>
          <w:sz w:val="20"/>
          <w:szCs w:val="20"/>
          <w:highlight w:val="lightGray"/>
        </w:rPr>
        <w:t>Companies may have legal obligations resulting from the inclusion of the substance in the Candidate List. These obligations may apply to the listed substance on its own, in mixtures or in articles</w:t>
      </w:r>
      <w:r w:rsidRPr="004E5ACD">
        <w:rPr>
          <w:rFonts w:ascii="Verdana" w:eastAsia="Times New Roman" w:hAnsi="Verdana" w:cs="Times New Roman"/>
          <w:color w:val="384A53"/>
          <w:sz w:val="20"/>
          <w:szCs w:val="20"/>
        </w:rPr>
        <w:t>. In particular, any supplier of articles containing a Candidate List substance above a concentration of 0.1 % (weight by weight) has communication obligations towards customers down the supply chain and to consumers. In addition, importers and producers of articles containing the substance have six months from the date of its inclusion in the Candidate List (16 July 2019) to notify ECHA</w:t>
      </w:r>
      <w:bookmarkStart w:id="0" w:name="_GoBack"/>
      <w:bookmarkEnd w:id="0"/>
      <w:r w:rsidRPr="00BA32A1">
        <w:rPr>
          <w:rFonts w:ascii="Verdana" w:eastAsia="Times New Roman" w:hAnsi="Verdana" w:cs="Times New Roman"/>
          <w:color w:val="384A53"/>
          <w:sz w:val="20"/>
          <w:szCs w:val="20"/>
          <w:highlight w:val="lightGray"/>
        </w:rPr>
        <w:t>. Information on these obligations and related tools are available on ECHA’s website.</w:t>
      </w:r>
    </w:p>
    <w:p w14:paraId="0692A32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72"/>
    <w:rsid w:val="00453EED"/>
    <w:rsid w:val="004E5ACD"/>
    <w:rsid w:val="00675372"/>
    <w:rsid w:val="00BA32A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43BF1"/>
  <w14:defaultImageDpi w14:val="32767"/>
  <w15:chartTrackingRefBased/>
  <w15:docId w15:val="{14339698-2A2D-3B43-9DAC-FDE5762F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E5AC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A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5AC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5ACD"/>
    <w:rPr>
      <w:b/>
      <w:bCs/>
    </w:rPr>
  </w:style>
  <w:style w:type="character" w:customStyle="1" w:styleId="apple-converted-space">
    <w:name w:val="apple-converted-space"/>
    <w:basedOn w:val="DefaultParagraphFont"/>
    <w:rsid w:val="004E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38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2020-02-17T10:35:00Z</dcterms:created>
  <dcterms:modified xsi:type="dcterms:W3CDTF">2020-04-18T10:54:00Z</dcterms:modified>
</cp:coreProperties>
</file>