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26652" w14:textId="77777777" w:rsidR="00911ACE" w:rsidRPr="00911ACE" w:rsidRDefault="00911ACE" w:rsidP="00911ACE">
      <w:pPr>
        <w:spacing w:after="225"/>
        <w:outlineLvl w:val="1"/>
        <w:rPr>
          <w:rFonts w:ascii="Verdana" w:eastAsia="Times New Roman" w:hAnsi="Verdana" w:cs="Times New Roman"/>
          <w:color w:val="384A53"/>
          <w:sz w:val="29"/>
          <w:szCs w:val="29"/>
        </w:rPr>
      </w:pPr>
      <w:r w:rsidRPr="00911ACE">
        <w:rPr>
          <w:rFonts w:ascii="Verdana" w:eastAsia="Times New Roman" w:hAnsi="Verdana" w:cs="Times New Roman"/>
          <w:color w:val="384A53"/>
          <w:sz w:val="29"/>
          <w:szCs w:val="29"/>
        </w:rPr>
        <w:t xml:space="preserve">Endocrine disrupting properties to be added for four phthalates in the </w:t>
      </w:r>
      <w:proofErr w:type="spellStart"/>
      <w:r w:rsidRPr="00911ACE">
        <w:rPr>
          <w:rFonts w:ascii="Verdana" w:eastAsia="Times New Roman" w:hAnsi="Verdana" w:cs="Times New Roman"/>
          <w:color w:val="384A53"/>
          <w:sz w:val="29"/>
          <w:szCs w:val="29"/>
        </w:rPr>
        <w:t>Authorisation</w:t>
      </w:r>
      <w:proofErr w:type="spellEnd"/>
      <w:r w:rsidRPr="00911ACE">
        <w:rPr>
          <w:rFonts w:ascii="Verdana" w:eastAsia="Times New Roman" w:hAnsi="Verdana" w:cs="Times New Roman"/>
          <w:color w:val="384A53"/>
          <w:sz w:val="29"/>
          <w:szCs w:val="29"/>
        </w:rPr>
        <w:t xml:space="preserve"> List</w:t>
      </w:r>
    </w:p>
    <w:p w14:paraId="233C3753" w14:textId="77777777" w:rsidR="00911ACE" w:rsidRPr="00911ACE" w:rsidRDefault="00911ACE" w:rsidP="00911ACE">
      <w:pPr>
        <w:spacing w:after="225" w:line="277" w:lineRule="atLeast"/>
        <w:rPr>
          <w:rFonts w:ascii="Verdana" w:eastAsia="Times New Roman" w:hAnsi="Verdana" w:cs="Times New Roman"/>
          <w:color w:val="384A53"/>
          <w:sz w:val="20"/>
          <w:szCs w:val="20"/>
        </w:rPr>
      </w:pPr>
      <w:r w:rsidRPr="00911ACE">
        <w:rPr>
          <w:rFonts w:ascii="Verdana" w:eastAsia="Times New Roman" w:hAnsi="Verdana" w:cs="Times New Roman"/>
          <w:color w:val="384A53"/>
          <w:sz w:val="20"/>
          <w:szCs w:val="20"/>
        </w:rPr>
        <w:t>ECHA/NR/19/26</w:t>
      </w:r>
    </w:p>
    <w:p w14:paraId="58233555" w14:textId="77777777" w:rsidR="00911ACE" w:rsidRPr="00911ACE" w:rsidRDefault="00911ACE" w:rsidP="00911ACE">
      <w:pPr>
        <w:spacing w:after="225" w:line="277" w:lineRule="atLeast"/>
        <w:rPr>
          <w:rFonts w:ascii="Verdana" w:eastAsia="Times New Roman" w:hAnsi="Verdana" w:cs="Times New Roman"/>
          <w:color w:val="384A53"/>
          <w:sz w:val="20"/>
          <w:szCs w:val="20"/>
        </w:rPr>
      </w:pPr>
      <w:r w:rsidRPr="001D2114">
        <w:rPr>
          <w:rFonts w:ascii="Verdana" w:eastAsia="Times New Roman" w:hAnsi="Verdana" w:cs="Times New Roman"/>
          <w:b/>
          <w:bCs/>
          <w:color w:val="384A53"/>
          <w:sz w:val="20"/>
          <w:szCs w:val="20"/>
          <w:highlight w:val="lightGray"/>
        </w:rPr>
        <w:t xml:space="preserve">ECHA has submitted a recommendation to the European Commission to amend </w:t>
      </w:r>
      <w:proofErr w:type="spellStart"/>
      <w:r w:rsidRPr="001D2114">
        <w:rPr>
          <w:rFonts w:ascii="Verdana" w:eastAsia="Times New Roman" w:hAnsi="Verdana" w:cs="Times New Roman"/>
          <w:b/>
          <w:bCs/>
          <w:color w:val="384A53"/>
          <w:sz w:val="20"/>
          <w:szCs w:val="20"/>
          <w:highlight w:val="lightGray"/>
        </w:rPr>
        <w:t>Authorisation</w:t>
      </w:r>
      <w:proofErr w:type="spellEnd"/>
      <w:r w:rsidRPr="001D2114">
        <w:rPr>
          <w:rFonts w:ascii="Verdana" w:eastAsia="Times New Roman" w:hAnsi="Verdana" w:cs="Times New Roman"/>
          <w:b/>
          <w:bCs/>
          <w:color w:val="384A53"/>
          <w:sz w:val="20"/>
          <w:szCs w:val="20"/>
          <w:highlight w:val="lightGray"/>
        </w:rPr>
        <w:t xml:space="preserve"> List (Annex XIV of REACH) entries by adding the endocrine disrupting properties of four phthalates. Once the Commission decides on the amendment, some previously exempted uses will require </w:t>
      </w:r>
      <w:proofErr w:type="spellStart"/>
      <w:r w:rsidRPr="001D2114">
        <w:rPr>
          <w:rFonts w:ascii="Verdana" w:eastAsia="Times New Roman" w:hAnsi="Verdana" w:cs="Times New Roman"/>
          <w:b/>
          <w:bCs/>
          <w:color w:val="384A53"/>
          <w:sz w:val="20"/>
          <w:szCs w:val="20"/>
          <w:highlight w:val="lightGray"/>
        </w:rPr>
        <w:t>authorisation</w:t>
      </w:r>
      <w:proofErr w:type="spellEnd"/>
      <w:r w:rsidRPr="001D2114">
        <w:rPr>
          <w:rFonts w:ascii="Verdana" w:eastAsia="Times New Roman" w:hAnsi="Verdana" w:cs="Times New Roman"/>
          <w:b/>
          <w:bCs/>
          <w:color w:val="384A53"/>
          <w:sz w:val="20"/>
          <w:szCs w:val="20"/>
          <w:highlight w:val="lightGray"/>
        </w:rPr>
        <w:t>.</w:t>
      </w:r>
    </w:p>
    <w:p w14:paraId="59C1D0F9" w14:textId="77777777" w:rsidR="00911ACE" w:rsidRPr="00911ACE" w:rsidRDefault="00911ACE" w:rsidP="00911ACE">
      <w:pPr>
        <w:spacing w:after="225" w:line="277" w:lineRule="atLeast"/>
        <w:rPr>
          <w:rFonts w:ascii="Verdana" w:eastAsia="Times New Roman" w:hAnsi="Verdana" w:cs="Times New Roman"/>
          <w:color w:val="384A53"/>
          <w:sz w:val="20"/>
          <w:szCs w:val="20"/>
        </w:rPr>
      </w:pPr>
      <w:r w:rsidRPr="00911ACE">
        <w:rPr>
          <w:rFonts w:ascii="Verdana" w:eastAsia="Times New Roman" w:hAnsi="Verdana" w:cs="Times New Roman"/>
          <w:b/>
          <w:bCs/>
          <w:color w:val="384A53"/>
          <w:sz w:val="20"/>
          <w:szCs w:val="20"/>
        </w:rPr>
        <w:t xml:space="preserve">Helsinki, </w:t>
      </w:r>
      <w:r w:rsidRPr="001D2114">
        <w:rPr>
          <w:rFonts w:ascii="Verdana" w:eastAsia="Times New Roman" w:hAnsi="Verdana" w:cs="Times New Roman"/>
          <w:b/>
          <w:bCs/>
          <w:color w:val="384A53"/>
          <w:sz w:val="20"/>
          <w:szCs w:val="20"/>
          <w:highlight w:val="lightGray"/>
        </w:rPr>
        <w:t>10 July 2019 </w:t>
      </w:r>
      <w:r w:rsidRPr="001D2114">
        <w:rPr>
          <w:rFonts w:ascii="Verdana" w:eastAsia="Times New Roman" w:hAnsi="Verdana" w:cs="Times New Roman"/>
          <w:color w:val="384A53"/>
          <w:sz w:val="20"/>
          <w:szCs w:val="20"/>
          <w:highlight w:val="lightGray"/>
        </w:rPr>
        <w:t xml:space="preserve">- ECHA has prepared a recommendation to amend the </w:t>
      </w:r>
      <w:proofErr w:type="spellStart"/>
      <w:r w:rsidRPr="001D2114">
        <w:rPr>
          <w:rFonts w:ascii="Verdana" w:eastAsia="Times New Roman" w:hAnsi="Verdana" w:cs="Times New Roman"/>
          <w:color w:val="384A53"/>
          <w:sz w:val="20"/>
          <w:szCs w:val="20"/>
          <w:highlight w:val="lightGray"/>
        </w:rPr>
        <w:t>Authorisation</w:t>
      </w:r>
      <w:proofErr w:type="spellEnd"/>
      <w:r w:rsidRPr="001D2114">
        <w:rPr>
          <w:rFonts w:ascii="Verdana" w:eastAsia="Times New Roman" w:hAnsi="Verdana" w:cs="Times New Roman"/>
          <w:color w:val="384A53"/>
          <w:sz w:val="20"/>
          <w:szCs w:val="20"/>
          <w:highlight w:val="lightGray"/>
        </w:rPr>
        <w:t xml:space="preserve"> List to include endocrine disrupting properties into the respective entries of:</w:t>
      </w:r>
      <w:r w:rsidRPr="00911ACE">
        <w:rPr>
          <w:rFonts w:ascii="Verdana" w:eastAsia="Times New Roman" w:hAnsi="Verdana" w:cs="Times New Roman"/>
          <w:color w:val="384A53"/>
          <w:sz w:val="20"/>
          <w:szCs w:val="20"/>
        </w:rPr>
        <w:t> </w:t>
      </w:r>
    </w:p>
    <w:p w14:paraId="7B7ACB27" w14:textId="77777777" w:rsidR="00911ACE" w:rsidRPr="001D2114" w:rsidRDefault="00911ACE" w:rsidP="00911ACE">
      <w:pPr>
        <w:numPr>
          <w:ilvl w:val="0"/>
          <w:numId w:val="1"/>
        </w:numPr>
        <w:spacing w:before="100" w:beforeAutospacing="1" w:after="100" w:afterAutospacing="1" w:line="277" w:lineRule="atLeast"/>
        <w:ind w:left="150"/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</w:pPr>
      <w:proofErr w:type="spellStart"/>
      <w:r w:rsidRPr="001D2114">
        <w:rPr>
          <w:rFonts w:ascii="Verdana" w:eastAsia="Times New Roman" w:hAnsi="Verdana" w:cs="Times New Roman"/>
          <w:b/>
          <w:bCs/>
          <w:color w:val="384A53"/>
          <w:sz w:val="20"/>
          <w:szCs w:val="20"/>
          <w:highlight w:val="darkGray"/>
        </w:rPr>
        <w:t>bis</w:t>
      </w:r>
      <w:proofErr w:type="spellEnd"/>
      <w:r w:rsidRPr="001D2114">
        <w:rPr>
          <w:rFonts w:ascii="Verdana" w:eastAsia="Times New Roman" w:hAnsi="Verdana" w:cs="Times New Roman"/>
          <w:b/>
          <w:bCs/>
          <w:color w:val="384A53"/>
          <w:sz w:val="20"/>
          <w:szCs w:val="20"/>
          <w:highlight w:val="darkGray"/>
        </w:rPr>
        <w:t>(2-ethylhexyl) phthalate (DEHP) </w:t>
      </w:r>
      <w:r w:rsidRPr="001D2114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>(EC 204-211-0, CAS 117-81-7)</w:t>
      </w:r>
    </w:p>
    <w:p w14:paraId="30D08A2F" w14:textId="77777777" w:rsidR="00911ACE" w:rsidRPr="001D2114" w:rsidRDefault="00911ACE" w:rsidP="00911ACE">
      <w:pPr>
        <w:numPr>
          <w:ilvl w:val="0"/>
          <w:numId w:val="1"/>
        </w:numPr>
        <w:spacing w:before="75" w:line="277" w:lineRule="atLeast"/>
        <w:ind w:left="150"/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</w:pPr>
      <w:r w:rsidRPr="001D2114">
        <w:rPr>
          <w:rFonts w:ascii="Verdana" w:eastAsia="Times New Roman" w:hAnsi="Verdana" w:cs="Times New Roman"/>
          <w:b/>
          <w:bCs/>
          <w:color w:val="384A53"/>
          <w:sz w:val="20"/>
          <w:szCs w:val="20"/>
          <w:highlight w:val="darkGray"/>
        </w:rPr>
        <w:t>benzyl butyl phthalate (BBP)</w:t>
      </w:r>
      <w:r w:rsidRPr="001D2114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> (EC 201-622-7, CAS 85-68-7)</w:t>
      </w:r>
    </w:p>
    <w:p w14:paraId="4B520005" w14:textId="77777777" w:rsidR="00911ACE" w:rsidRPr="001D2114" w:rsidRDefault="00911ACE" w:rsidP="00911ACE">
      <w:pPr>
        <w:numPr>
          <w:ilvl w:val="0"/>
          <w:numId w:val="1"/>
        </w:numPr>
        <w:spacing w:before="75" w:line="277" w:lineRule="atLeast"/>
        <w:ind w:left="150"/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</w:pPr>
      <w:r w:rsidRPr="001D2114">
        <w:rPr>
          <w:rFonts w:ascii="Verdana" w:eastAsia="Times New Roman" w:hAnsi="Verdana" w:cs="Times New Roman"/>
          <w:b/>
          <w:bCs/>
          <w:color w:val="384A53"/>
          <w:sz w:val="20"/>
          <w:szCs w:val="20"/>
          <w:highlight w:val="darkGray"/>
        </w:rPr>
        <w:t>dibutyl phthalate (DBP) </w:t>
      </w:r>
      <w:r w:rsidRPr="001D2114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>(EC 201-557-4, CAS 84-74-2)</w:t>
      </w:r>
    </w:p>
    <w:p w14:paraId="23D79C94" w14:textId="77777777" w:rsidR="00911ACE" w:rsidRPr="001D2114" w:rsidRDefault="00911ACE" w:rsidP="00911ACE">
      <w:pPr>
        <w:numPr>
          <w:ilvl w:val="0"/>
          <w:numId w:val="1"/>
        </w:numPr>
        <w:spacing w:before="75" w:line="277" w:lineRule="atLeast"/>
        <w:ind w:left="150"/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</w:pPr>
      <w:proofErr w:type="spellStart"/>
      <w:r w:rsidRPr="001D2114">
        <w:rPr>
          <w:rFonts w:ascii="Verdana" w:eastAsia="Times New Roman" w:hAnsi="Verdana" w:cs="Times New Roman"/>
          <w:b/>
          <w:bCs/>
          <w:color w:val="384A53"/>
          <w:sz w:val="20"/>
          <w:szCs w:val="20"/>
          <w:highlight w:val="darkGray"/>
        </w:rPr>
        <w:t>diisobutyl</w:t>
      </w:r>
      <w:proofErr w:type="spellEnd"/>
      <w:r w:rsidRPr="001D2114">
        <w:rPr>
          <w:rFonts w:ascii="Verdana" w:eastAsia="Times New Roman" w:hAnsi="Verdana" w:cs="Times New Roman"/>
          <w:b/>
          <w:bCs/>
          <w:color w:val="384A53"/>
          <w:sz w:val="20"/>
          <w:szCs w:val="20"/>
          <w:highlight w:val="darkGray"/>
        </w:rPr>
        <w:t xml:space="preserve"> phthalate (DIBP)</w:t>
      </w:r>
      <w:r w:rsidRPr="001D2114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> (EC 201-553-2, CAS 84-69-5).</w:t>
      </w:r>
    </w:p>
    <w:p w14:paraId="219EAEA9" w14:textId="77777777" w:rsidR="00911ACE" w:rsidRPr="00911ACE" w:rsidRDefault="00911ACE" w:rsidP="00911ACE">
      <w:pPr>
        <w:spacing w:after="225" w:line="277" w:lineRule="atLeast"/>
        <w:rPr>
          <w:rFonts w:ascii="Verdana" w:eastAsia="Times New Roman" w:hAnsi="Verdana" w:cs="Times New Roman"/>
          <w:color w:val="384A53"/>
          <w:sz w:val="20"/>
          <w:szCs w:val="20"/>
        </w:rPr>
      </w:pPr>
      <w:r w:rsidRPr="001D2114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>They were identified as substances of very high concern (SVHCs) due to endocrine disrupting properties with effects on human health. DEHP was also identified for its effects on the environment.</w:t>
      </w:r>
      <w:r w:rsidRPr="00911ACE">
        <w:rPr>
          <w:rFonts w:ascii="Verdana" w:eastAsia="Times New Roman" w:hAnsi="Verdana" w:cs="Times New Roman"/>
          <w:color w:val="384A53"/>
          <w:sz w:val="20"/>
          <w:szCs w:val="20"/>
        </w:rPr>
        <w:t xml:space="preserve"> The Candidate List entries for these substances were updated accordingly in 2014 and 2017.</w:t>
      </w:r>
    </w:p>
    <w:p w14:paraId="5F9F5B84" w14:textId="77777777" w:rsidR="00911ACE" w:rsidRPr="00911ACE" w:rsidRDefault="00911ACE" w:rsidP="00911ACE">
      <w:pPr>
        <w:spacing w:after="225" w:line="277" w:lineRule="atLeast"/>
        <w:rPr>
          <w:rFonts w:ascii="Verdana" w:eastAsia="Times New Roman" w:hAnsi="Verdana" w:cs="Times New Roman"/>
          <w:color w:val="384A53"/>
          <w:sz w:val="20"/>
          <w:szCs w:val="20"/>
        </w:rPr>
      </w:pPr>
      <w:r w:rsidRPr="001D2114">
        <w:rPr>
          <w:rFonts w:ascii="Verdana" w:eastAsia="Times New Roman" w:hAnsi="Verdana" w:cs="Times New Roman"/>
          <w:color w:val="384A53"/>
          <w:sz w:val="20"/>
          <w:szCs w:val="20"/>
          <w:highlight w:val="lightGray"/>
        </w:rPr>
        <w:t xml:space="preserve">These four phthalates had already earlier been identified as SVHCs (in 2008 and 2009) and subsequently added to the </w:t>
      </w:r>
      <w:proofErr w:type="spellStart"/>
      <w:r w:rsidRPr="001D2114">
        <w:rPr>
          <w:rFonts w:ascii="Verdana" w:eastAsia="Times New Roman" w:hAnsi="Verdana" w:cs="Times New Roman"/>
          <w:color w:val="384A53"/>
          <w:sz w:val="20"/>
          <w:szCs w:val="20"/>
          <w:highlight w:val="lightGray"/>
        </w:rPr>
        <w:t>Authorisation</w:t>
      </w:r>
      <w:proofErr w:type="spellEnd"/>
      <w:r w:rsidRPr="001D2114">
        <w:rPr>
          <w:rFonts w:ascii="Verdana" w:eastAsia="Times New Roman" w:hAnsi="Verdana" w:cs="Times New Roman"/>
          <w:color w:val="384A53"/>
          <w:sz w:val="20"/>
          <w:szCs w:val="20"/>
          <w:highlight w:val="lightGray"/>
        </w:rPr>
        <w:t xml:space="preserve"> List in 2011 and 2012 due to their classification as toxic for reproduction.</w:t>
      </w:r>
    </w:p>
    <w:p w14:paraId="0090C70B" w14:textId="77777777" w:rsidR="00911ACE" w:rsidRPr="001D2114" w:rsidRDefault="00911ACE" w:rsidP="00911ACE">
      <w:pPr>
        <w:numPr>
          <w:ilvl w:val="0"/>
          <w:numId w:val="2"/>
        </w:numPr>
        <w:spacing w:before="100" w:beforeAutospacing="1" w:after="100" w:afterAutospacing="1" w:line="277" w:lineRule="atLeast"/>
        <w:ind w:left="150"/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</w:pPr>
      <w:bookmarkStart w:id="0" w:name="_GoBack"/>
      <w:bookmarkEnd w:id="0"/>
      <w:r w:rsidRPr="001D2114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>uses of the four phthalates in mixtures in concentrations above or equal to 0.1 % w/w (so far the concentration limit has been 0.3 % w/w);</w:t>
      </w:r>
    </w:p>
    <w:p w14:paraId="4D308F7E" w14:textId="77777777" w:rsidR="00911ACE" w:rsidRPr="001D2114" w:rsidRDefault="00911ACE" w:rsidP="00911ACE">
      <w:pPr>
        <w:numPr>
          <w:ilvl w:val="0"/>
          <w:numId w:val="2"/>
        </w:numPr>
        <w:spacing w:before="75" w:line="277" w:lineRule="atLeast"/>
        <w:ind w:left="150"/>
        <w:rPr>
          <w:rFonts w:ascii="Verdana" w:eastAsia="Times New Roman" w:hAnsi="Verdana" w:cs="Times New Roman"/>
          <w:color w:val="384A53"/>
          <w:sz w:val="20"/>
          <w:szCs w:val="20"/>
          <w:highlight w:val="lightGray"/>
        </w:rPr>
      </w:pPr>
      <w:r w:rsidRPr="001D2114">
        <w:rPr>
          <w:rFonts w:ascii="Verdana" w:eastAsia="Times New Roman" w:hAnsi="Verdana" w:cs="Times New Roman"/>
          <w:color w:val="384A53"/>
          <w:sz w:val="20"/>
          <w:szCs w:val="20"/>
          <w:highlight w:val="lightGray"/>
        </w:rPr>
        <w:t xml:space="preserve">some uses of DEHP (e.g. in food contact materials or medical devices) that will no longer fall under the ‘generic exemptions from the </w:t>
      </w:r>
      <w:proofErr w:type="spellStart"/>
      <w:r w:rsidRPr="001D2114">
        <w:rPr>
          <w:rFonts w:ascii="Verdana" w:eastAsia="Times New Roman" w:hAnsi="Verdana" w:cs="Times New Roman"/>
          <w:color w:val="384A53"/>
          <w:sz w:val="20"/>
          <w:szCs w:val="20"/>
          <w:highlight w:val="lightGray"/>
        </w:rPr>
        <w:t>authorisation</w:t>
      </w:r>
      <w:proofErr w:type="spellEnd"/>
      <w:r w:rsidRPr="001D2114">
        <w:rPr>
          <w:rFonts w:ascii="Verdana" w:eastAsia="Times New Roman" w:hAnsi="Verdana" w:cs="Times New Roman"/>
          <w:color w:val="384A53"/>
          <w:sz w:val="20"/>
          <w:szCs w:val="20"/>
          <w:highlight w:val="lightGray"/>
        </w:rPr>
        <w:t xml:space="preserve"> requirement’ as it has now been identified as an SVHC also because of hazards to the environment. For the same reason, ECHA recommends </w:t>
      </w:r>
      <w:proofErr w:type="gramStart"/>
      <w:r w:rsidRPr="001D2114">
        <w:rPr>
          <w:rFonts w:ascii="Verdana" w:eastAsia="Times New Roman" w:hAnsi="Verdana" w:cs="Times New Roman"/>
          <w:color w:val="384A53"/>
          <w:sz w:val="20"/>
          <w:szCs w:val="20"/>
          <w:highlight w:val="lightGray"/>
        </w:rPr>
        <w:t>to remove</w:t>
      </w:r>
      <w:proofErr w:type="gramEnd"/>
      <w:r w:rsidRPr="001D2114">
        <w:rPr>
          <w:rFonts w:ascii="Verdana" w:eastAsia="Times New Roman" w:hAnsi="Verdana" w:cs="Times New Roman"/>
          <w:color w:val="384A53"/>
          <w:sz w:val="20"/>
          <w:szCs w:val="20"/>
          <w:highlight w:val="lightGray"/>
        </w:rPr>
        <w:t xml:space="preserve"> the exemption for uses of DEHP in immediate packaging of medicinal products from the </w:t>
      </w:r>
      <w:proofErr w:type="spellStart"/>
      <w:r w:rsidRPr="001D2114">
        <w:rPr>
          <w:rFonts w:ascii="Verdana" w:eastAsia="Times New Roman" w:hAnsi="Verdana" w:cs="Times New Roman"/>
          <w:color w:val="384A53"/>
          <w:sz w:val="20"/>
          <w:szCs w:val="20"/>
          <w:highlight w:val="lightGray"/>
        </w:rPr>
        <w:t>Authorisation</w:t>
      </w:r>
      <w:proofErr w:type="spellEnd"/>
      <w:r w:rsidRPr="001D2114">
        <w:rPr>
          <w:rFonts w:ascii="Verdana" w:eastAsia="Times New Roman" w:hAnsi="Verdana" w:cs="Times New Roman"/>
          <w:color w:val="384A53"/>
          <w:sz w:val="20"/>
          <w:szCs w:val="20"/>
          <w:highlight w:val="lightGray"/>
        </w:rPr>
        <w:t xml:space="preserve"> List.</w:t>
      </w:r>
    </w:p>
    <w:p w14:paraId="5AFDABD7" w14:textId="77777777" w:rsidR="00911ACE" w:rsidRPr="00911ACE" w:rsidRDefault="00911ACE" w:rsidP="00911ACE">
      <w:pPr>
        <w:spacing w:after="225" w:line="277" w:lineRule="atLeast"/>
        <w:rPr>
          <w:rFonts w:ascii="Verdana" w:eastAsia="Times New Roman" w:hAnsi="Verdana" w:cs="Times New Roman"/>
          <w:color w:val="384A53"/>
          <w:sz w:val="20"/>
          <w:szCs w:val="20"/>
        </w:rPr>
      </w:pPr>
      <w:r w:rsidRPr="001D2114">
        <w:rPr>
          <w:rFonts w:ascii="Verdana" w:eastAsia="Times New Roman" w:hAnsi="Verdana" w:cs="Times New Roman"/>
          <w:color w:val="384A53"/>
          <w:sz w:val="20"/>
          <w:szCs w:val="20"/>
          <w:highlight w:val="lightGray"/>
        </w:rPr>
        <w:t>In addition, ECHA invites the European Commission to review the existing exemption for uses of BBP and DBP in immediate packaging of medicinal products.</w:t>
      </w:r>
    </w:p>
    <w:p w14:paraId="50B63EF5" w14:textId="77777777" w:rsidR="00911ACE" w:rsidRPr="00911ACE" w:rsidRDefault="00911ACE" w:rsidP="00911ACE">
      <w:pPr>
        <w:spacing w:after="225" w:line="277" w:lineRule="atLeast"/>
        <w:rPr>
          <w:rFonts w:ascii="Verdana" w:eastAsia="Times New Roman" w:hAnsi="Verdana" w:cs="Times New Roman"/>
          <w:color w:val="384A53"/>
          <w:sz w:val="20"/>
          <w:szCs w:val="20"/>
        </w:rPr>
      </w:pPr>
      <w:r w:rsidRPr="001D2114">
        <w:rPr>
          <w:rFonts w:ascii="Verdana" w:eastAsia="Times New Roman" w:hAnsi="Verdana" w:cs="Times New Roman"/>
          <w:color w:val="384A53"/>
          <w:sz w:val="20"/>
          <w:szCs w:val="20"/>
          <w:highlight w:val="lightGray"/>
        </w:rPr>
        <w:t xml:space="preserve">The actual amendment of the entries including the final decision on the dates, by which companies will need to apply for </w:t>
      </w:r>
      <w:proofErr w:type="spellStart"/>
      <w:r w:rsidRPr="001D2114">
        <w:rPr>
          <w:rFonts w:ascii="Verdana" w:eastAsia="Times New Roman" w:hAnsi="Verdana" w:cs="Times New Roman"/>
          <w:color w:val="384A53"/>
          <w:sz w:val="20"/>
          <w:szCs w:val="20"/>
          <w:highlight w:val="lightGray"/>
        </w:rPr>
        <w:t>authorisation</w:t>
      </w:r>
      <w:proofErr w:type="spellEnd"/>
      <w:r w:rsidRPr="001D2114">
        <w:rPr>
          <w:rFonts w:ascii="Verdana" w:eastAsia="Times New Roman" w:hAnsi="Verdana" w:cs="Times New Roman"/>
          <w:color w:val="384A53"/>
          <w:sz w:val="20"/>
          <w:szCs w:val="20"/>
          <w:highlight w:val="lightGray"/>
        </w:rPr>
        <w:t xml:space="preserve"> to ECHA and on exemptions of uses, will be made by the European Commission in collaboration with the Member States and the European Parliament.</w:t>
      </w:r>
    </w:p>
    <w:p w14:paraId="2E447FE2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36E3C"/>
    <w:multiLevelType w:val="multilevel"/>
    <w:tmpl w:val="88BA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1C030D"/>
    <w:multiLevelType w:val="multilevel"/>
    <w:tmpl w:val="4F78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A3"/>
    <w:rsid w:val="001D2114"/>
    <w:rsid w:val="00453EED"/>
    <w:rsid w:val="00861DA3"/>
    <w:rsid w:val="00911ACE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62981"/>
  <w14:defaultImageDpi w14:val="32767"/>
  <w15:chartTrackingRefBased/>
  <w15:docId w15:val="{2E26BA4D-F454-F340-8C3F-877FECE5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1AC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1AC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11A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11ACE"/>
    <w:rPr>
      <w:b/>
      <w:bCs/>
    </w:rPr>
  </w:style>
  <w:style w:type="character" w:customStyle="1" w:styleId="apple-converted-space">
    <w:name w:val="apple-converted-space"/>
    <w:basedOn w:val="DefaultParagraphFont"/>
    <w:rsid w:val="00911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2020-02-17T10:35:00Z</dcterms:created>
  <dcterms:modified xsi:type="dcterms:W3CDTF">2020-04-18T11:00:00Z</dcterms:modified>
</cp:coreProperties>
</file>