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BEB8A" w14:textId="77777777" w:rsidR="002159B9" w:rsidRPr="002159B9" w:rsidRDefault="002159B9" w:rsidP="002159B9">
      <w:pPr>
        <w:spacing w:after="225"/>
        <w:outlineLvl w:val="1"/>
        <w:rPr>
          <w:rFonts w:ascii="Verdana" w:eastAsia="Times New Roman" w:hAnsi="Verdana" w:cs="Times New Roman"/>
          <w:color w:val="384A53"/>
          <w:sz w:val="29"/>
          <w:szCs w:val="29"/>
        </w:rPr>
      </w:pPr>
      <w:r w:rsidRPr="00605C72">
        <w:rPr>
          <w:rFonts w:ascii="Verdana" w:eastAsia="Times New Roman" w:hAnsi="Verdana" w:cs="Times New Roman"/>
          <w:color w:val="384A53"/>
          <w:sz w:val="29"/>
          <w:szCs w:val="29"/>
          <w:highlight w:val="lightGray"/>
        </w:rPr>
        <w:t>MSC unanimously agrees that HFPO-DA is a substance of very high concern</w:t>
      </w:r>
    </w:p>
    <w:p w14:paraId="6587B5D1" w14:textId="77777777" w:rsidR="002159B9" w:rsidRPr="002159B9" w:rsidRDefault="002159B9" w:rsidP="002159B9">
      <w:pPr>
        <w:spacing w:after="225" w:line="277" w:lineRule="atLeast"/>
        <w:rPr>
          <w:rFonts w:ascii="Verdana" w:eastAsia="Times New Roman" w:hAnsi="Verdana" w:cs="Times New Roman"/>
          <w:color w:val="384A53"/>
          <w:sz w:val="20"/>
          <w:szCs w:val="20"/>
        </w:rPr>
      </w:pPr>
      <w:r w:rsidRPr="002159B9">
        <w:rPr>
          <w:rFonts w:ascii="Verdana" w:eastAsia="Times New Roman" w:hAnsi="Verdana" w:cs="Times New Roman"/>
          <w:color w:val="384A53"/>
          <w:sz w:val="20"/>
          <w:szCs w:val="20"/>
        </w:rPr>
        <w:t>ECHA/NR/19/23</w:t>
      </w:r>
    </w:p>
    <w:p w14:paraId="225704F8" w14:textId="77777777" w:rsidR="002159B9" w:rsidRPr="002159B9" w:rsidRDefault="002159B9" w:rsidP="002159B9">
      <w:pPr>
        <w:spacing w:after="225" w:line="277" w:lineRule="atLeast"/>
        <w:rPr>
          <w:rFonts w:ascii="Verdana" w:eastAsia="Times New Roman" w:hAnsi="Verdana" w:cs="Times New Roman"/>
          <w:color w:val="384A53"/>
          <w:sz w:val="20"/>
          <w:szCs w:val="20"/>
        </w:rPr>
      </w:pPr>
      <w:r w:rsidRPr="00605C72">
        <w:rPr>
          <w:rFonts w:ascii="Verdana" w:eastAsia="Times New Roman" w:hAnsi="Verdana" w:cs="Times New Roman"/>
          <w:b/>
          <w:bCs/>
          <w:color w:val="384A53"/>
          <w:sz w:val="20"/>
          <w:szCs w:val="20"/>
          <w:highlight w:val="lightGray"/>
        </w:rPr>
        <w:t xml:space="preserve">The Member State Committee (MSC) supported the Dutch proposal to identify HFPO-DA, its salts and acyl halides as substances of very high concern due to their probable </w:t>
      </w:r>
      <w:r w:rsidRPr="00605C72">
        <w:rPr>
          <w:rFonts w:ascii="Verdana" w:eastAsia="Times New Roman" w:hAnsi="Verdana" w:cs="Times New Roman"/>
          <w:b/>
          <w:bCs/>
          <w:color w:val="384A53"/>
          <w:sz w:val="20"/>
          <w:szCs w:val="20"/>
          <w:highlight w:val="darkGray"/>
        </w:rPr>
        <w:t>serious effects on human health and the environment.</w:t>
      </w:r>
    </w:p>
    <w:p w14:paraId="7F666319" w14:textId="77777777" w:rsidR="002159B9" w:rsidRPr="002159B9" w:rsidRDefault="002159B9" w:rsidP="002159B9">
      <w:pPr>
        <w:spacing w:after="225" w:line="277" w:lineRule="atLeast"/>
        <w:rPr>
          <w:rFonts w:ascii="Verdana" w:eastAsia="Times New Roman" w:hAnsi="Verdana" w:cs="Times New Roman"/>
          <w:color w:val="384A53"/>
          <w:sz w:val="20"/>
          <w:szCs w:val="20"/>
        </w:rPr>
      </w:pPr>
      <w:r w:rsidRPr="002159B9">
        <w:rPr>
          <w:rFonts w:ascii="Verdana" w:eastAsia="Times New Roman" w:hAnsi="Verdana" w:cs="Times New Roman"/>
          <w:b/>
          <w:bCs/>
          <w:color w:val="384A53"/>
          <w:sz w:val="20"/>
          <w:szCs w:val="20"/>
        </w:rPr>
        <w:t>Helsinki, 27 June 2019</w:t>
      </w:r>
      <w:r w:rsidRPr="002159B9">
        <w:rPr>
          <w:rFonts w:ascii="Verdana" w:eastAsia="Times New Roman" w:hAnsi="Verdana" w:cs="Times New Roman"/>
          <w:color w:val="384A53"/>
          <w:sz w:val="20"/>
          <w:szCs w:val="20"/>
        </w:rPr>
        <w:t> – The Member State Committee (MSC) unanimously agreed to identify </w:t>
      </w:r>
      <w:r w:rsidRPr="002159B9">
        <w:rPr>
          <w:rFonts w:ascii="Verdana" w:eastAsia="Times New Roman" w:hAnsi="Verdana" w:cs="Times New Roman"/>
          <w:b/>
          <w:bCs/>
          <w:color w:val="384A53"/>
          <w:sz w:val="20"/>
          <w:szCs w:val="20"/>
        </w:rPr>
        <w:t>2</w:t>
      </w:r>
      <w:r w:rsidRPr="00605C72">
        <w:rPr>
          <w:rFonts w:ascii="Verdana" w:eastAsia="Times New Roman" w:hAnsi="Verdana" w:cs="Times New Roman"/>
          <w:b/>
          <w:bCs/>
          <w:color w:val="384A53"/>
          <w:sz w:val="20"/>
          <w:szCs w:val="20"/>
          <w:highlight w:val="darkGray"/>
        </w:rPr>
        <w:t>,3,3,3-tetrafluoro-2-(</w:t>
      </w:r>
      <w:proofErr w:type="spellStart"/>
      <w:r w:rsidRPr="00605C72">
        <w:rPr>
          <w:rFonts w:ascii="Verdana" w:eastAsia="Times New Roman" w:hAnsi="Verdana" w:cs="Times New Roman"/>
          <w:b/>
          <w:bCs/>
          <w:color w:val="384A53"/>
          <w:sz w:val="20"/>
          <w:szCs w:val="20"/>
          <w:highlight w:val="darkGray"/>
        </w:rPr>
        <w:t>heptafluoropropoxy</w:t>
      </w:r>
      <w:proofErr w:type="spellEnd"/>
      <w:r w:rsidRPr="00605C72">
        <w:rPr>
          <w:rFonts w:ascii="Verdana" w:eastAsia="Times New Roman" w:hAnsi="Verdana" w:cs="Times New Roman"/>
          <w:b/>
          <w:bCs/>
          <w:color w:val="384A53"/>
          <w:sz w:val="20"/>
          <w:szCs w:val="20"/>
          <w:highlight w:val="darkGray"/>
        </w:rPr>
        <w:t>)propionic acid, its salts and its acyl halides (covering any of their individual isomers and combinations thereof)</w:t>
      </w:r>
      <w:r w:rsidRPr="00605C72">
        <w:rPr>
          <w:rFonts w:ascii="Verdana" w:eastAsia="Times New Roman" w:hAnsi="Verdana" w:cs="Times New Roman"/>
          <w:color w:val="384A53"/>
          <w:sz w:val="20"/>
          <w:szCs w:val="20"/>
          <w:highlight w:val="darkGray"/>
        </w:rPr>
        <w:t> (denoted as HFPO-DA) as substances</w:t>
      </w:r>
      <w:r w:rsidRPr="002159B9">
        <w:rPr>
          <w:rFonts w:ascii="Verdana" w:eastAsia="Times New Roman" w:hAnsi="Verdana" w:cs="Times New Roman"/>
          <w:color w:val="384A53"/>
          <w:sz w:val="20"/>
          <w:szCs w:val="20"/>
        </w:rPr>
        <w:t xml:space="preserve"> of very high concern (SVHCs).</w:t>
      </w:r>
    </w:p>
    <w:p w14:paraId="15F4C174" w14:textId="77777777" w:rsidR="002159B9" w:rsidRPr="002159B9" w:rsidRDefault="002159B9" w:rsidP="002159B9">
      <w:pPr>
        <w:spacing w:after="225" w:line="277" w:lineRule="atLeast"/>
        <w:rPr>
          <w:rFonts w:ascii="Verdana" w:eastAsia="Times New Roman" w:hAnsi="Verdana" w:cs="Times New Roman"/>
          <w:color w:val="384A53"/>
          <w:sz w:val="20"/>
          <w:szCs w:val="20"/>
        </w:rPr>
      </w:pPr>
      <w:r w:rsidRPr="00605C72">
        <w:rPr>
          <w:rFonts w:ascii="Verdana" w:eastAsia="Times New Roman" w:hAnsi="Verdana" w:cs="Times New Roman"/>
          <w:color w:val="384A53"/>
          <w:sz w:val="20"/>
          <w:szCs w:val="20"/>
          <w:highlight w:val="darkGray"/>
        </w:rPr>
        <w:t xml:space="preserve">The substances are used as processing aids for producing </w:t>
      </w:r>
      <w:proofErr w:type="spellStart"/>
      <w:r w:rsidRPr="00605C72">
        <w:rPr>
          <w:rFonts w:ascii="Verdana" w:eastAsia="Times New Roman" w:hAnsi="Verdana" w:cs="Times New Roman"/>
          <w:color w:val="384A53"/>
          <w:sz w:val="20"/>
          <w:szCs w:val="20"/>
          <w:highlight w:val="darkGray"/>
        </w:rPr>
        <w:t>fluoro</w:t>
      </w:r>
      <w:proofErr w:type="spellEnd"/>
      <w:r w:rsidRPr="00605C72">
        <w:rPr>
          <w:rFonts w:ascii="Verdana" w:eastAsia="Times New Roman" w:hAnsi="Verdana" w:cs="Times New Roman"/>
          <w:color w:val="384A53"/>
          <w:sz w:val="20"/>
          <w:szCs w:val="20"/>
          <w:highlight w:val="darkGray"/>
        </w:rPr>
        <w:t xml:space="preserve">-polymers with many applications, such as fluoropolymer resins, wire cables and coatings. They were proposed by the Netherlands due to their properties which cause probable serious effects to human health and the environment, giving rise to an equivalent level of concern to carcinogenic, mutagenic and reprotoxic (CMR), persistent, </w:t>
      </w:r>
      <w:proofErr w:type="spellStart"/>
      <w:r w:rsidRPr="00605C72">
        <w:rPr>
          <w:rFonts w:ascii="Verdana" w:eastAsia="Times New Roman" w:hAnsi="Verdana" w:cs="Times New Roman"/>
          <w:color w:val="384A53"/>
          <w:sz w:val="20"/>
          <w:szCs w:val="20"/>
          <w:highlight w:val="darkGray"/>
        </w:rPr>
        <w:t>bioaccumulative</w:t>
      </w:r>
      <w:proofErr w:type="spellEnd"/>
      <w:r w:rsidRPr="00605C72">
        <w:rPr>
          <w:rFonts w:ascii="Verdana" w:eastAsia="Times New Roman" w:hAnsi="Verdana" w:cs="Times New Roman"/>
          <w:color w:val="384A53"/>
          <w:sz w:val="20"/>
          <w:szCs w:val="20"/>
          <w:highlight w:val="darkGray"/>
        </w:rPr>
        <w:t xml:space="preserve"> and toxic (PBT) and very persistent and very </w:t>
      </w:r>
      <w:proofErr w:type="spellStart"/>
      <w:r w:rsidRPr="00605C72">
        <w:rPr>
          <w:rFonts w:ascii="Verdana" w:eastAsia="Times New Roman" w:hAnsi="Verdana" w:cs="Times New Roman"/>
          <w:color w:val="384A53"/>
          <w:sz w:val="20"/>
          <w:szCs w:val="20"/>
          <w:highlight w:val="darkGray"/>
        </w:rPr>
        <w:t>bioaccumulative</w:t>
      </w:r>
      <w:proofErr w:type="spellEnd"/>
      <w:r w:rsidRPr="00605C72">
        <w:rPr>
          <w:rFonts w:ascii="Verdana" w:eastAsia="Times New Roman" w:hAnsi="Verdana" w:cs="Times New Roman"/>
          <w:color w:val="384A53"/>
          <w:sz w:val="20"/>
          <w:szCs w:val="20"/>
          <w:highlight w:val="darkGray"/>
        </w:rPr>
        <w:t xml:space="preserve"> (</w:t>
      </w:r>
      <w:proofErr w:type="spellStart"/>
      <w:r w:rsidRPr="00605C72">
        <w:rPr>
          <w:rFonts w:ascii="Verdana" w:eastAsia="Times New Roman" w:hAnsi="Verdana" w:cs="Times New Roman"/>
          <w:color w:val="384A53"/>
          <w:sz w:val="20"/>
          <w:szCs w:val="20"/>
          <w:highlight w:val="darkGray"/>
        </w:rPr>
        <w:t>vPvB</w:t>
      </w:r>
      <w:proofErr w:type="spellEnd"/>
      <w:r w:rsidRPr="00605C72">
        <w:rPr>
          <w:rFonts w:ascii="Verdana" w:eastAsia="Times New Roman" w:hAnsi="Verdana" w:cs="Times New Roman"/>
          <w:color w:val="384A53"/>
          <w:sz w:val="20"/>
          <w:szCs w:val="20"/>
          <w:highlight w:val="darkGray"/>
        </w:rPr>
        <w:t>) substances.</w:t>
      </w:r>
    </w:p>
    <w:p w14:paraId="69AE2CEB" w14:textId="77777777" w:rsidR="002159B9" w:rsidRPr="002159B9" w:rsidRDefault="002159B9" w:rsidP="002159B9">
      <w:pPr>
        <w:spacing w:after="225" w:line="277" w:lineRule="atLeast"/>
        <w:rPr>
          <w:rFonts w:ascii="Verdana" w:eastAsia="Times New Roman" w:hAnsi="Verdana" w:cs="Times New Roman"/>
          <w:color w:val="384A53"/>
          <w:sz w:val="20"/>
          <w:szCs w:val="20"/>
        </w:rPr>
      </w:pPr>
      <w:r w:rsidRPr="002159B9">
        <w:rPr>
          <w:rFonts w:ascii="Verdana" w:eastAsia="Times New Roman" w:hAnsi="Verdana" w:cs="Times New Roman"/>
          <w:color w:val="384A53"/>
          <w:sz w:val="20"/>
          <w:szCs w:val="20"/>
        </w:rPr>
        <w:t xml:space="preserve">At its meeting early this week, the MSC acknowledged that HFPO-DA has a high potential to </w:t>
      </w:r>
      <w:r w:rsidRPr="00605C72">
        <w:rPr>
          <w:rFonts w:ascii="Verdana" w:eastAsia="Times New Roman" w:hAnsi="Verdana" w:cs="Times New Roman"/>
          <w:color w:val="384A53"/>
          <w:sz w:val="20"/>
          <w:szCs w:val="20"/>
          <w:highlight w:val="darkGray"/>
        </w:rPr>
        <w:t>cause effects in wildlife and in humans through the environment due to its very high persistence, mobility in water, potential for long-range transport, accumulation in plants and observed effects on human health and the environment.</w:t>
      </w:r>
    </w:p>
    <w:p w14:paraId="59FE32E6" w14:textId="77777777" w:rsidR="002159B9" w:rsidRPr="002159B9" w:rsidRDefault="002159B9" w:rsidP="002159B9">
      <w:pPr>
        <w:spacing w:after="225" w:line="277" w:lineRule="atLeast"/>
        <w:rPr>
          <w:rFonts w:ascii="Verdana" w:eastAsia="Times New Roman" w:hAnsi="Verdana" w:cs="Times New Roman"/>
          <w:color w:val="384A53"/>
          <w:sz w:val="20"/>
          <w:szCs w:val="20"/>
        </w:rPr>
      </w:pPr>
      <w:r w:rsidRPr="002159B9">
        <w:rPr>
          <w:rFonts w:ascii="Verdana" w:eastAsia="Times New Roman" w:hAnsi="Verdana" w:cs="Times New Roman"/>
          <w:color w:val="384A53"/>
          <w:sz w:val="20"/>
          <w:szCs w:val="20"/>
        </w:rPr>
        <w:t xml:space="preserve">Furthermore, the committee noted the lack of known natural removal of </w:t>
      </w:r>
      <w:r w:rsidRPr="00605C72">
        <w:rPr>
          <w:rFonts w:ascii="Verdana" w:eastAsia="Times New Roman" w:hAnsi="Verdana" w:cs="Times New Roman"/>
          <w:color w:val="384A53"/>
          <w:sz w:val="20"/>
          <w:szCs w:val="20"/>
          <w:highlight w:val="darkGray"/>
        </w:rPr>
        <w:t>HFPO-DA once released, leading to a continuous presence in water and resulting in the continuous bioavailability of these substances. It also noted the expected exposure through the food chain and drinking water, as well as difficulties to remediate polluted media and remove HFPO-DA from drinking water.</w:t>
      </w:r>
    </w:p>
    <w:p w14:paraId="07F3813E" w14:textId="77777777" w:rsidR="002159B9" w:rsidRPr="002159B9" w:rsidRDefault="002159B9" w:rsidP="002159B9">
      <w:pPr>
        <w:spacing w:after="225" w:line="277" w:lineRule="atLeast"/>
        <w:rPr>
          <w:rFonts w:ascii="Verdana" w:eastAsia="Times New Roman" w:hAnsi="Verdana" w:cs="Times New Roman"/>
          <w:color w:val="384A53"/>
          <w:sz w:val="20"/>
          <w:szCs w:val="20"/>
        </w:rPr>
      </w:pPr>
      <w:r w:rsidRPr="002159B9">
        <w:rPr>
          <w:rFonts w:ascii="Verdana" w:eastAsia="Times New Roman" w:hAnsi="Verdana" w:cs="Times New Roman"/>
          <w:color w:val="384A53"/>
          <w:sz w:val="20"/>
          <w:szCs w:val="20"/>
        </w:rPr>
        <w:t xml:space="preserve">Together, these contribute to a high potential of these substances for </w:t>
      </w:r>
      <w:r w:rsidRPr="00605C72">
        <w:rPr>
          <w:rFonts w:ascii="Verdana" w:eastAsia="Times New Roman" w:hAnsi="Verdana" w:cs="Times New Roman"/>
          <w:color w:val="384A53"/>
          <w:sz w:val="20"/>
          <w:szCs w:val="20"/>
          <w:highlight w:val="darkGray"/>
        </w:rPr>
        <w:t>continuous, increasing and widespread exposure which would be difficult to reverse.</w:t>
      </w:r>
      <w:r w:rsidRPr="002159B9">
        <w:rPr>
          <w:rFonts w:ascii="Verdana" w:eastAsia="Times New Roman" w:hAnsi="Verdana" w:cs="Times New Roman"/>
          <w:color w:val="384A53"/>
          <w:sz w:val="20"/>
          <w:szCs w:val="20"/>
        </w:rPr>
        <w:t xml:space="preserve"> </w:t>
      </w:r>
      <w:r w:rsidRPr="00605C72">
        <w:rPr>
          <w:rFonts w:ascii="Verdana" w:eastAsia="Times New Roman" w:hAnsi="Verdana" w:cs="Times New Roman"/>
          <w:color w:val="384A53"/>
          <w:sz w:val="20"/>
          <w:szCs w:val="20"/>
          <w:highlight w:val="lightGray"/>
        </w:rPr>
        <w:t>While in isolation none of these observations may be of equivalent level of concern, the MSC unanimously agreed that in combination they show that there is scientific evidence of probable serious effects to the environment and humans. The MSC also noted that co-exposure to other contaminants with similar effects may occur, which strengthens the concern for HFPO-DA.</w:t>
      </w:r>
    </w:p>
    <w:p w14:paraId="23B1D947" w14:textId="77777777" w:rsidR="002159B9" w:rsidRPr="002159B9" w:rsidRDefault="002159B9" w:rsidP="002159B9">
      <w:pPr>
        <w:spacing w:after="225" w:line="277" w:lineRule="atLeast"/>
        <w:rPr>
          <w:rFonts w:ascii="Verdana" w:eastAsia="Times New Roman" w:hAnsi="Verdana" w:cs="Times New Roman"/>
          <w:color w:val="384A53"/>
          <w:sz w:val="20"/>
          <w:szCs w:val="20"/>
        </w:rPr>
      </w:pPr>
      <w:bookmarkStart w:id="0" w:name="_GoBack"/>
      <w:bookmarkEnd w:id="0"/>
      <w:r w:rsidRPr="00605C72">
        <w:rPr>
          <w:rFonts w:ascii="Verdana" w:eastAsia="Times New Roman" w:hAnsi="Verdana" w:cs="Times New Roman"/>
          <w:color w:val="384A53"/>
          <w:sz w:val="20"/>
          <w:szCs w:val="20"/>
          <w:highlight w:val="lightGray"/>
        </w:rPr>
        <w:t>ECHA will include the newly identified SVHCs in the Candidate List by mid-July 2019. Companies may have legal obligations with respect to these substances once they are published in the updated Candidate List.</w:t>
      </w:r>
    </w:p>
    <w:p w14:paraId="41A3A76A"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B7E"/>
    <w:rsid w:val="002159B9"/>
    <w:rsid w:val="00453EED"/>
    <w:rsid w:val="00605C72"/>
    <w:rsid w:val="00BE080D"/>
    <w:rsid w:val="00EB5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F66A99"/>
  <w14:defaultImageDpi w14:val="32767"/>
  <w15:chartTrackingRefBased/>
  <w15:docId w15:val="{C875F4EE-38AE-9D43-9367-4F9CE0DDC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2159B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59B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159B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159B9"/>
    <w:rPr>
      <w:b/>
      <w:bCs/>
    </w:rPr>
  </w:style>
  <w:style w:type="character" w:customStyle="1" w:styleId="apple-converted-space">
    <w:name w:val="apple-converted-space"/>
    <w:basedOn w:val="DefaultParagraphFont"/>
    <w:rsid w:val="00215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45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379</Words>
  <Characters>2163</Characters>
  <Application>Microsoft Office Word</Application>
  <DocSecurity>0</DocSecurity>
  <Lines>18</Lines>
  <Paragraphs>5</Paragraphs>
  <ScaleCrop>false</ScaleCrop>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2020-02-17T10:36:00Z</dcterms:created>
  <dcterms:modified xsi:type="dcterms:W3CDTF">2020-04-18T11:09:00Z</dcterms:modified>
</cp:coreProperties>
</file>