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A4E5F" w14:textId="77777777" w:rsidR="00611B44" w:rsidRPr="00611B44" w:rsidRDefault="00611B44" w:rsidP="00611B44">
      <w:pPr>
        <w:spacing w:after="225"/>
        <w:outlineLvl w:val="1"/>
        <w:rPr>
          <w:rFonts w:ascii="inherit" w:eastAsia="Times New Roman" w:hAnsi="inherit" w:cs="Times New Roman"/>
          <w:sz w:val="29"/>
          <w:szCs w:val="29"/>
        </w:rPr>
      </w:pPr>
      <w:r w:rsidRPr="00611B44">
        <w:rPr>
          <w:rFonts w:ascii="inherit" w:eastAsia="Times New Roman" w:hAnsi="inherit" w:cs="Times New Roman"/>
          <w:sz w:val="29"/>
          <w:szCs w:val="29"/>
        </w:rPr>
        <w:t xml:space="preserve">ECHA’s committees conclude on one restriction and 10 </w:t>
      </w:r>
      <w:proofErr w:type="spellStart"/>
      <w:r w:rsidRPr="00611B44">
        <w:rPr>
          <w:rFonts w:ascii="inherit" w:eastAsia="Times New Roman" w:hAnsi="inherit" w:cs="Times New Roman"/>
          <w:sz w:val="29"/>
          <w:szCs w:val="29"/>
        </w:rPr>
        <w:t>harmonised</w:t>
      </w:r>
      <w:proofErr w:type="spellEnd"/>
      <w:r w:rsidRPr="00611B44">
        <w:rPr>
          <w:rFonts w:ascii="inherit" w:eastAsia="Times New Roman" w:hAnsi="inherit" w:cs="Times New Roman"/>
          <w:sz w:val="29"/>
          <w:szCs w:val="29"/>
        </w:rPr>
        <w:t xml:space="preserve"> classification and labelling opinions</w:t>
      </w:r>
    </w:p>
    <w:p w14:paraId="1B3D7545" w14:textId="77777777" w:rsidR="00611B44" w:rsidRPr="00611B44" w:rsidRDefault="00611B44" w:rsidP="00611B44">
      <w:pPr>
        <w:spacing w:after="225" w:line="277" w:lineRule="atLeast"/>
        <w:rPr>
          <w:rFonts w:ascii="Times New Roman" w:eastAsia="Times New Roman" w:hAnsi="Times New Roman" w:cs="Times New Roman"/>
        </w:rPr>
      </w:pPr>
      <w:r w:rsidRPr="00611B44">
        <w:rPr>
          <w:rFonts w:ascii="Times New Roman" w:eastAsia="Times New Roman" w:hAnsi="Times New Roman" w:cs="Times New Roman"/>
        </w:rPr>
        <w:t>ECHA/NR/19/21</w:t>
      </w:r>
    </w:p>
    <w:p w14:paraId="1FC89AFB" w14:textId="77777777" w:rsidR="00611B44" w:rsidRPr="00611B44" w:rsidRDefault="00611B44" w:rsidP="00611B44">
      <w:pPr>
        <w:spacing w:after="225" w:line="277" w:lineRule="atLeast"/>
        <w:rPr>
          <w:rFonts w:ascii="Times New Roman" w:eastAsia="Times New Roman" w:hAnsi="Times New Roman" w:cs="Times New Roman"/>
        </w:rPr>
      </w:pPr>
      <w:r w:rsidRPr="00805B82">
        <w:rPr>
          <w:rFonts w:ascii="Times New Roman" w:eastAsia="Times New Roman" w:hAnsi="Times New Roman" w:cs="Times New Roman"/>
          <w:b/>
          <w:bCs/>
          <w:highlight w:val="lightGray"/>
        </w:rPr>
        <w:t>The Committee for Risk Assessment (RAC) adopted its opinion on the restriction</w:t>
      </w:r>
      <w:r w:rsidRPr="00611B44">
        <w:rPr>
          <w:rFonts w:ascii="Times New Roman" w:eastAsia="Times New Roman" w:hAnsi="Times New Roman" w:cs="Times New Roman"/>
          <w:b/>
          <w:bCs/>
        </w:rPr>
        <w:t xml:space="preserve"> </w:t>
      </w:r>
      <w:r w:rsidRPr="00805B82">
        <w:rPr>
          <w:rFonts w:ascii="Times New Roman" w:eastAsia="Times New Roman" w:hAnsi="Times New Roman" w:cs="Times New Roman"/>
          <w:b/>
          <w:bCs/>
          <w:highlight w:val="darkGray"/>
        </w:rPr>
        <w:t>proposal on granules and mulches used as infill material in synthetic turf pitches or in loose forms on playgrounds. The Committee for Socio-economic Analysis (SEAC) agreed its draft opinion on the same proposal.</w:t>
      </w:r>
    </w:p>
    <w:p w14:paraId="6DEE4A86" w14:textId="77777777" w:rsidR="00611B44" w:rsidRPr="00611B44" w:rsidRDefault="00611B44" w:rsidP="00611B44">
      <w:pPr>
        <w:spacing w:after="225" w:line="277" w:lineRule="atLeast"/>
        <w:rPr>
          <w:rFonts w:ascii="Times New Roman" w:eastAsia="Times New Roman" w:hAnsi="Times New Roman" w:cs="Times New Roman"/>
        </w:rPr>
      </w:pPr>
      <w:r w:rsidRPr="00611B44">
        <w:rPr>
          <w:rFonts w:ascii="Times New Roman" w:eastAsia="Times New Roman" w:hAnsi="Times New Roman" w:cs="Times New Roman"/>
          <w:b/>
          <w:bCs/>
        </w:rPr>
        <w:t>Helsinki, 18 June 2019</w:t>
      </w:r>
      <w:r w:rsidRPr="00611B44">
        <w:rPr>
          <w:rFonts w:ascii="Times New Roman" w:eastAsia="Times New Roman" w:hAnsi="Times New Roman" w:cs="Times New Roman"/>
        </w:rPr>
        <w:t xml:space="preserve"> – RAC and SEAC supported the restriction proposal by </w:t>
      </w:r>
      <w:r w:rsidRPr="00805B82">
        <w:rPr>
          <w:rFonts w:ascii="Times New Roman" w:eastAsia="Times New Roman" w:hAnsi="Times New Roman" w:cs="Times New Roman"/>
          <w:highlight w:val="darkGray"/>
        </w:rPr>
        <w:t>the Netherlands to not place the granules and mulches in question on the market if the sum of the listed polycyclic aromatic hydrocarbons (PAHs) in the materials is more than 20 mg/kg</w:t>
      </w:r>
      <w:r w:rsidRPr="00611B44">
        <w:rPr>
          <w:rFonts w:ascii="Times New Roman" w:eastAsia="Times New Roman" w:hAnsi="Times New Roman" w:cs="Times New Roman"/>
        </w:rPr>
        <w:t xml:space="preserve">. </w:t>
      </w:r>
      <w:r w:rsidRPr="00805B82">
        <w:rPr>
          <w:rFonts w:ascii="Times New Roman" w:eastAsia="Times New Roman" w:hAnsi="Times New Roman" w:cs="Times New Roman"/>
          <w:highlight w:val="yellow"/>
        </w:rPr>
        <w:t>A public consultation on the SEAC opinion will begin soon and the committee is expected to adopt an opinion in its September meeting.</w:t>
      </w:r>
    </w:p>
    <w:p w14:paraId="69ADF17C" w14:textId="77777777" w:rsidR="00611B44" w:rsidRPr="00611B44" w:rsidRDefault="00611B44" w:rsidP="00611B44">
      <w:pPr>
        <w:spacing w:after="225" w:line="277" w:lineRule="atLeast"/>
        <w:rPr>
          <w:rFonts w:ascii="Times New Roman" w:eastAsia="Times New Roman" w:hAnsi="Times New Roman" w:cs="Times New Roman"/>
        </w:rPr>
      </w:pPr>
      <w:r w:rsidRPr="00805B82">
        <w:rPr>
          <w:rFonts w:ascii="Times New Roman" w:eastAsia="Times New Roman" w:hAnsi="Times New Roman" w:cs="Times New Roman"/>
          <w:highlight w:val="darkGray"/>
        </w:rPr>
        <w:t xml:space="preserve">RAC also adopted 10 opinions for </w:t>
      </w:r>
      <w:proofErr w:type="spellStart"/>
      <w:r w:rsidRPr="00805B82">
        <w:rPr>
          <w:rFonts w:ascii="Times New Roman" w:eastAsia="Times New Roman" w:hAnsi="Times New Roman" w:cs="Times New Roman"/>
          <w:highlight w:val="darkGray"/>
        </w:rPr>
        <w:t>harmonised</w:t>
      </w:r>
      <w:proofErr w:type="spellEnd"/>
      <w:r w:rsidRPr="00805B82">
        <w:rPr>
          <w:rFonts w:ascii="Times New Roman" w:eastAsia="Times New Roman" w:hAnsi="Times New Roman" w:cs="Times New Roman"/>
          <w:highlight w:val="darkGray"/>
        </w:rPr>
        <w:t xml:space="preserve"> classification and labelling, including opinions on seven active substances used in biocidal products and/or plant protection products and three in industrial chemicals.</w:t>
      </w:r>
    </w:p>
    <w:p w14:paraId="51161729" w14:textId="77777777" w:rsidR="00611B44" w:rsidRPr="00611B44" w:rsidRDefault="00611B44" w:rsidP="00611B44">
      <w:pPr>
        <w:spacing w:after="225" w:line="277" w:lineRule="atLeast"/>
        <w:rPr>
          <w:rFonts w:ascii="Times New Roman" w:eastAsia="Times New Roman" w:hAnsi="Times New Roman" w:cs="Times New Roman"/>
        </w:rPr>
      </w:pPr>
      <w:bookmarkStart w:id="0" w:name="_GoBack"/>
      <w:bookmarkEnd w:id="0"/>
      <w:r w:rsidRPr="00805B82">
        <w:rPr>
          <w:rFonts w:ascii="Times New Roman" w:eastAsia="Times New Roman" w:hAnsi="Times New Roman" w:cs="Times New Roman"/>
          <w:highlight w:val="darkGray"/>
        </w:rPr>
        <w:t xml:space="preserve">RAC and SEAC agreed on eight draft opinions on uses of chromium trioxide. Furthermore, RAC and SEAC discussed key issues in 11 applications for </w:t>
      </w:r>
      <w:proofErr w:type="spellStart"/>
      <w:r w:rsidRPr="00805B82">
        <w:rPr>
          <w:rFonts w:ascii="Times New Roman" w:eastAsia="Times New Roman" w:hAnsi="Times New Roman" w:cs="Times New Roman"/>
          <w:highlight w:val="darkGray"/>
        </w:rPr>
        <w:t>authorisation</w:t>
      </w:r>
      <w:proofErr w:type="spellEnd"/>
      <w:r w:rsidRPr="00805B82">
        <w:rPr>
          <w:rFonts w:ascii="Times New Roman" w:eastAsia="Times New Roman" w:hAnsi="Times New Roman" w:cs="Times New Roman"/>
          <w:highlight w:val="darkGray"/>
        </w:rPr>
        <w:t>, which were received by ECHA in February 2019.</w:t>
      </w:r>
      <w:r w:rsidRPr="00611B44">
        <w:rPr>
          <w:rFonts w:ascii="Times New Roman" w:eastAsia="Times New Roman" w:hAnsi="Times New Roman" w:cs="Times New Roman"/>
        </w:rPr>
        <w:t xml:space="preserve"> More information about the opinions is available in the annex.</w:t>
      </w:r>
    </w:p>
    <w:p w14:paraId="57835610" w14:textId="77777777" w:rsidR="00611B44" w:rsidRPr="00611B44" w:rsidRDefault="00611B44" w:rsidP="00611B44">
      <w:pPr>
        <w:rPr>
          <w:rFonts w:ascii="Times New Roman" w:eastAsia="Times New Roman" w:hAnsi="Times New Roman" w:cs="Times New Roman"/>
        </w:rPr>
      </w:pPr>
    </w:p>
    <w:p w14:paraId="1059567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59"/>
    <w:rsid w:val="00453EED"/>
    <w:rsid w:val="00611B44"/>
    <w:rsid w:val="00805B82"/>
    <w:rsid w:val="00B31A59"/>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29D91"/>
  <w14:defaultImageDpi w14:val="32767"/>
  <w15:chartTrackingRefBased/>
  <w15:docId w15:val="{41A699D8-F7C0-6E4A-AC49-389374EE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11B4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B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1B4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11B44"/>
    <w:rPr>
      <w:b/>
      <w:bCs/>
    </w:rPr>
  </w:style>
  <w:style w:type="character" w:customStyle="1" w:styleId="apple-converted-space">
    <w:name w:val="apple-converted-space"/>
    <w:basedOn w:val="DefaultParagraphFont"/>
    <w:rsid w:val="00611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5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2020-02-17T11:03:00Z</dcterms:created>
  <dcterms:modified xsi:type="dcterms:W3CDTF">2020-04-18T11:17:00Z</dcterms:modified>
</cp:coreProperties>
</file>