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D09C5" w14:textId="77777777" w:rsidR="00BF0857" w:rsidRPr="00BF0857" w:rsidRDefault="00BF0857" w:rsidP="00BF0857">
      <w:pPr>
        <w:spacing w:after="225"/>
        <w:outlineLvl w:val="1"/>
        <w:rPr>
          <w:rFonts w:ascii="Verdana" w:eastAsia="Times New Roman" w:hAnsi="Verdana" w:cs="Times New Roman"/>
          <w:color w:val="384A53"/>
          <w:sz w:val="29"/>
          <w:szCs w:val="29"/>
        </w:rPr>
      </w:pPr>
      <w:r w:rsidRPr="00BF0857">
        <w:rPr>
          <w:rFonts w:ascii="Verdana" w:eastAsia="Times New Roman" w:hAnsi="Verdana" w:cs="Times New Roman"/>
          <w:color w:val="384A53"/>
          <w:sz w:val="29"/>
          <w:szCs w:val="29"/>
        </w:rPr>
        <w:t>Registered substances mapped for regulatory action</w:t>
      </w:r>
    </w:p>
    <w:p w14:paraId="0D8CBB30" w14:textId="77777777" w:rsidR="00BF0857" w:rsidRPr="00BF0857" w:rsidRDefault="00BF0857" w:rsidP="00BF0857">
      <w:pPr>
        <w:spacing w:after="225" w:line="277" w:lineRule="atLeast"/>
        <w:rPr>
          <w:rFonts w:ascii="Verdana" w:eastAsia="Times New Roman" w:hAnsi="Verdana" w:cs="Times New Roman"/>
          <w:color w:val="384A53"/>
          <w:sz w:val="20"/>
          <w:szCs w:val="20"/>
        </w:rPr>
      </w:pPr>
      <w:r w:rsidRPr="00BF0857">
        <w:rPr>
          <w:rFonts w:ascii="Verdana" w:eastAsia="Times New Roman" w:hAnsi="Verdana" w:cs="Times New Roman"/>
          <w:color w:val="384A53"/>
          <w:sz w:val="20"/>
          <w:szCs w:val="20"/>
        </w:rPr>
        <w:t>ECHA/PR/19/07</w:t>
      </w:r>
    </w:p>
    <w:p w14:paraId="6AF5D436" w14:textId="77777777" w:rsidR="00BF0857" w:rsidRPr="00BF0857" w:rsidRDefault="00BF0857" w:rsidP="00BF0857">
      <w:pPr>
        <w:spacing w:after="225" w:line="277" w:lineRule="atLeast"/>
        <w:rPr>
          <w:rFonts w:ascii="Verdana" w:eastAsia="Times New Roman" w:hAnsi="Verdana" w:cs="Times New Roman"/>
          <w:color w:val="384A53"/>
          <w:sz w:val="20"/>
          <w:szCs w:val="20"/>
        </w:rPr>
      </w:pPr>
      <w:r w:rsidRPr="003D391E">
        <w:rPr>
          <w:rFonts w:ascii="Verdana" w:eastAsia="Times New Roman" w:hAnsi="Verdana" w:cs="Times New Roman"/>
          <w:b/>
          <w:bCs/>
          <w:color w:val="384A53"/>
          <w:sz w:val="20"/>
          <w:szCs w:val="20"/>
          <w:highlight w:val="darkGray"/>
        </w:rPr>
        <w:t>The first report of the Integrated Regulatory Strategy presents a mapping of the universe of registered substances that are on the EU market. This information helps authorities to identify, plan and monitor the progress on identifying and regulating substances of concern</w:t>
      </w:r>
      <w:r w:rsidRPr="00BF0857">
        <w:rPr>
          <w:rFonts w:ascii="Verdana" w:eastAsia="Times New Roman" w:hAnsi="Verdana" w:cs="Times New Roman"/>
          <w:b/>
          <w:bCs/>
          <w:color w:val="384A53"/>
          <w:sz w:val="20"/>
          <w:szCs w:val="20"/>
        </w:rPr>
        <w:t>.</w:t>
      </w:r>
    </w:p>
    <w:p w14:paraId="73DB0929" w14:textId="77777777" w:rsidR="00BF0857" w:rsidRPr="00BF0857" w:rsidRDefault="00BF0857" w:rsidP="00BF0857">
      <w:pPr>
        <w:spacing w:after="225" w:line="277" w:lineRule="atLeast"/>
        <w:rPr>
          <w:rFonts w:ascii="Verdana" w:eastAsia="Times New Roman" w:hAnsi="Verdana" w:cs="Times New Roman"/>
          <w:color w:val="384A53"/>
          <w:sz w:val="20"/>
          <w:szCs w:val="20"/>
        </w:rPr>
      </w:pPr>
      <w:r w:rsidRPr="00BF0857">
        <w:rPr>
          <w:rFonts w:ascii="Verdana" w:eastAsia="Times New Roman" w:hAnsi="Verdana" w:cs="Times New Roman"/>
          <w:b/>
          <w:bCs/>
          <w:color w:val="384A53"/>
          <w:sz w:val="20"/>
          <w:szCs w:val="20"/>
        </w:rPr>
        <w:t>Helsinki, 17 April 2019</w:t>
      </w:r>
      <w:r w:rsidRPr="00BF0857">
        <w:rPr>
          <w:rFonts w:ascii="Verdana" w:eastAsia="Times New Roman" w:hAnsi="Verdana" w:cs="Times New Roman"/>
          <w:color w:val="384A53"/>
          <w:sz w:val="20"/>
          <w:szCs w:val="20"/>
        </w:rPr>
        <w:t xml:space="preserve"> – </w:t>
      </w:r>
      <w:r w:rsidRPr="003D391E">
        <w:rPr>
          <w:rFonts w:ascii="Verdana" w:eastAsia="Times New Roman" w:hAnsi="Verdana" w:cs="Times New Roman"/>
          <w:color w:val="384A53"/>
          <w:sz w:val="20"/>
          <w:szCs w:val="20"/>
          <w:highlight w:val="darkGray"/>
        </w:rPr>
        <w:t xml:space="preserve">The report </w:t>
      </w:r>
      <w:proofErr w:type="spellStart"/>
      <w:r w:rsidRPr="003D391E">
        <w:rPr>
          <w:rFonts w:ascii="Verdana" w:eastAsia="Times New Roman" w:hAnsi="Verdana" w:cs="Times New Roman"/>
          <w:color w:val="384A53"/>
          <w:sz w:val="20"/>
          <w:szCs w:val="20"/>
          <w:highlight w:val="darkGray"/>
        </w:rPr>
        <w:t>visualises</w:t>
      </w:r>
      <w:proofErr w:type="spellEnd"/>
      <w:r w:rsidRPr="003D391E">
        <w:rPr>
          <w:rFonts w:ascii="Verdana" w:eastAsia="Times New Roman" w:hAnsi="Verdana" w:cs="Times New Roman"/>
          <w:color w:val="384A53"/>
          <w:sz w:val="20"/>
          <w:szCs w:val="20"/>
          <w:highlight w:val="darkGray"/>
        </w:rPr>
        <w:t xml:space="preserve"> the work that ECHA and the Member States have done to transform the vast data generated under REACH into knowledge on which substances need further hazard information, further risk management measures or for which substances authorities can conclude that they are not a priority at the moment.</w:t>
      </w:r>
    </w:p>
    <w:p w14:paraId="34FB5950" w14:textId="77777777" w:rsidR="00BF0857" w:rsidRPr="00BF0857" w:rsidRDefault="00BF0857" w:rsidP="00BF0857">
      <w:pPr>
        <w:spacing w:after="225" w:line="277" w:lineRule="atLeast"/>
        <w:rPr>
          <w:rFonts w:ascii="Verdana" w:eastAsia="Times New Roman" w:hAnsi="Verdana" w:cs="Times New Roman"/>
          <w:color w:val="384A53"/>
          <w:sz w:val="20"/>
          <w:szCs w:val="20"/>
        </w:rPr>
      </w:pPr>
      <w:r w:rsidRPr="003D391E">
        <w:rPr>
          <w:rFonts w:ascii="Verdana" w:eastAsia="Times New Roman" w:hAnsi="Verdana" w:cs="Times New Roman"/>
          <w:i/>
          <w:iCs/>
          <w:color w:val="384A53"/>
          <w:sz w:val="20"/>
          <w:szCs w:val="20"/>
          <w:highlight w:val="lightGray"/>
        </w:rPr>
        <w:t>“Our work enables authorities to focus on activities that improve human health and the environment in Europe and make the European industry more competitive. We remind industry to further improve the compliance of their registration information, in particular for substances with a high potential for exposure and for which hazard data is currently lacking,” states ECHA’s Executive Director Bjorn Hansen.</w:t>
      </w:r>
    </w:p>
    <w:p w14:paraId="299E2FCD" w14:textId="77777777" w:rsidR="00BF0857" w:rsidRPr="00BF0857" w:rsidRDefault="00BF0857" w:rsidP="00BF0857">
      <w:pPr>
        <w:spacing w:after="225" w:line="277" w:lineRule="atLeast"/>
        <w:rPr>
          <w:rFonts w:ascii="Verdana" w:eastAsia="Times New Roman" w:hAnsi="Verdana" w:cs="Times New Roman"/>
          <w:color w:val="384A53"/>
          <w:sz w:val="20"/>
          <w:szCs w:val="20"/>
        </w:rPr>
      </w:pPr>
      <w:r w:rsidRPr="00BF0857">
        <w:rPr>
          <w:rFonts w:ascii="Verdana" w:eastAsia="Times New Roman" w:hAnsi="Verdana" w:cs="Times New Roman"/>
          <w:color w:val="384A53"/>
          <w:sz w:val="20"/>
          <w:szCs w:val="20"/>
        </w:rPr>
        <w:t>Within the report, registered substances are divided into three main pools:</w:t>
      </w:r>
    </w:p>
    <w:p w14:paraId="349C87DE" w14:textId="77777777" w:rsidR="00BF0857" w:rsidRPr="00BF0857" w:rsidRDefault="00BF0857" w:rsidP="00BF0857">
      <w:pPr>
        <w:numPr>
          <w:ilvl w:val="0"/>
          <w:numId w:val="1"/>
        </w:numPr>
        <w:spacing w:before="100" w:beforeAutospacing="1" w:after="100" w:afterAutospacing="1" w:line="277" w:lineRule="atLeast"/>
        <w:ind w:left="345"/>
        <w:rPr>
          <w:rFonts w:ascii="Verdana" w:eastAsia="Times New Roman" w:hAnsi="Verdana" w:cs="Times New Roman"/>
          <w:color w:val="384A53"/>
          <w:sz w:val="20"/>
          <w:szCs w:val="20"/>
        </w:rPr>
      </w:pPr>
      <w:r w:rsidRPr="00BF0857">
        <w:rPr>
          <w:rFonts w:ascii="Verdana" w:eastAsia="Times New Roman" w:hAnsi="Verdana" w:cs="Times New Roman"/>
          <w:color w:val="384A53"/>
          <w:sz w:val="20"/>
          <w:szCs w:val="20"/>
        </w:rPr>
        <w:t>High priority for risk management, covering around 270 substances. These are substances with an identified concern and for which further regulatory work is ongoing or can start based on currently available information.</w:t>
      </w:r>
    </w:p>
    <w:p w14:paraId="7415128E" w14:textId="77777777" w:rsidR="00BF0857" w:rsidRPr="00BF0857" w:rsidRDefault="00BF0857" w:rsidP="00BF0857">
      <w:pPr>
        <w:numPr>
          <w:ilvl w:val="0"/>
          <w:numId w:val="1"/>
        </w:numPr>
        <w:spacing w:before="75" w:after="100" w:afterAutospacing="1" w:line="277" w:lineRule="atLeast"/>
        <w:ind w:left="345"/>
        <w:rPr>
          <w:rFonts w:ascii="Verdana" w:eastAsia="Times New Roman" w:hAnsi="Verdana" w:cs="Times New Roman"/>
          <w:color w:val="384A53"/>
          <w:sz w:val="20"/>
          <w:szCs w:val="20"/>
        </w:rPr>
      </w:pPr>
      <w:r w:rsidRPr="00BF0857">
        <w:rPr>
          <w:rFonts w:ascii="Verdana" w:eastAsia="Times New Roman" w:hAnsi="Verdana" w:cs="Times New Roman"/>
          <w:color w:val="384A53"/>
          <w:sz w:val="20"/>
          <w:szCs w:val="20"/>
        </w:rPr>
        <w:t>High priority for data generation and assessment, with around 1 300 substances of potential concern. Here further data needs to be generated or assessed to enable authorities to decide whether further regulatory risk management is needed.</w:t>
      </w:r>
    </w:p>
    <w:p w14:paraId="6775D9A7" w14:textId="77777777" w:rsidR="00BF0857" w:rsidRPr="003D391E" w:rsidRDefault="00BF0857" w:rsidP="00BF0857">
      <w:pPr>
        <w:numPr>
          <w:ilvl w:val="0"/>
          <w:numId w:val="1"/>
        </w:numPr>
        <w:spacing w:before="75" w:after="100" w:afterAutospacing="1" w:line="277" w:lineRule="atLeast"/>
        <w:ind w:left="345"/>
        <w:rPr>
          <w:rFonts w:ascii="Verdana" w:eastAsia="Times New Roman" w:hAnsi="Verdana" w:cs="Times New Roman"/>
          <w:color w:val="384A53"/>
          <w:sz w:val="20"/>
          <w:szCs w:val="20"/>
          <w:highlight w:val="darkGray"/>
        </w:rPr>
      </w:pPr>
      <w:r w:rsidRPr="00BF0857">
        <w:rPr>
          <w:rFonts w:ascii="Verdana" w:eastAsia="Times New Roman" w:hAnsi="Verdana" w:cs="Times New Roman"/>
          <w:color w:val="384A53"/>
          <w:sz w:val="20"/>
          <w:szCs w:val="20"/>
        </w:rPr>
        <w:t xml:space="preserve">Low priority for further regulatory action at present. </w:t>
      </w:r>
      <w:r w:rsidRPr="003D391E">
        <w:rPr>
          <w:rFonts w:ascii="Verdana" w:eastAsia="Times New Roman" w:hAnsi="Verdana" w:cs="Times New Roman"/>
          <w:color w:val="384A53"/>
          <w:sz w:val="20"/>
          <w:szCs w:val="20"/>
          <w:highlight w:val="darkGray"/>
        </w:rPr>
        <w:t>In this group, around 450 substances are considered as already sufficiently regulated and almost 500 substances have been concluded as low priority after assessment.</w:t>
      </w:r>
    </w:p>
    <w:p w14:paraId="2F2BD67A" w14:textId="77777777" w:rsidR="00BF0857" w:rsidRPr="00BF0857" w:rsidRDefault="00BF0857" w:rsidP="00BF0857">
      <w:pPr>
        <w:spacing w:after="225" w:line="277" w:lineRule="atLeast"/>
        <w:rPr>
          <w:rFonts w:ascii="Verdana" w:eastAsia="Times New Roman" w:hAnsi="Verdana" w:cs="Times New Roman"/>
          <w:color w:val="384A53"/>
          <w:sz w:val="20"/>
          <w:szCs w:val="20"/>
        </w:rPr>
      </w:pPr>
      <w:r w:rsidRPr="003D391E">
        <w:rPr>
          <w:rFonts w:ascii="Verdana" w:eastAsia="Times New Roman" w:hAnsi="Verdana" w:cs="Times New Roman"/>
          <w:color w:val="384A53"/>
          <w:sz w:val="20"/>
          <w:szCs w:val="20"/>
          <w:highlight w:val="darkGray"/>
        </w:rPr>
        <w:t xml:space="preserve">Currently, the focus is on the 4 700 substances registered above 100 </w:t>
      </w:r>
      <w:proofErr w:type="spellStart"/>
      <w:r w:rsidRPr="003D391E">
        <w:rPr>
          <w:rFonts w:ascii="Verdana" w:eastAsia="Times New Roman" w:hAnsi="Verdana" w:cs="Times New Roman"/>
          <w:color w:val="384A53"/>
          <w:sz w:val="20"/>
          <w:szCs w:val="20"/>
          <w:highlight w:val="darkGray"/>
        </w:rPr>
        <w:t>tonnes</w:t>
      </w:r>
      <w:proofErr w:type="spellEnd"/>
      <w:r w:rsidRPr="003D391E">
        <w:rPr>
          <w:rFonts w:ascii="Verdana" w:eastAsia="Times New Roman" w:hAnsi="Verdana" w:cs="Times New Roman"/>
          <w:color w:val="384A53"/>
          <w:sz w:val="20"/>
          <w:szCs w:val="20"/>
          <w:highlight w:val="darkGray"/>
        </w:rPr>
        <w:t>. We have allocated already more than 40 % of these substances to the above pools of substances.</w:t>
      </w:r>
      <w:r w:rsidRPr="00BF0857">
        <w:rPr>
          <w:rFonts w:ascii="Verdana" w:eastAsia="Times New Roman" w:hAnsi="Verdana" w:cs="Times New Roman"/>
          <w:color w:val="384A53"/>
          <w:sz w:val="20"/>
          <w:szCs w:val="20"/>
        </w:rPr>
        <w:t xml:space="preserve"> The list of the substances will be published at the end of the year on ECHA website and will be updated as the work progresses.</w:t>
      </w:r>
    </w:p>
    <w:p w14:paraId="3FCFD4FF" w14:textId="77777777" w:rsidR="00BF0857" w:rsidRPr="00BF0857" w:rsidRDefault="00BF0857" w:rsidP="00BF0857">
      <w:pPr>
        <w:spacing w:after="225" w:line="277" w:lineRule="atLeast"/>
        <w:rPr>
          <w:rFonts w:ascii="Verdana" w:eastAsia="Times New Roman" w:hAnsi="Verdana" w:cs="Times New Roman"/>
          <w:color w:val="384A53"/>
          <w:sz w:val="20"/>
          <w:szCs w:val="20"/>
        </w:rPr>
      </w:pPr>
      <w:bookmarkStart w:id="0" w:name="_GoBack"/>
      <w:bookmarkEnd w:id="0"/>
      <w:r w:rsidRPr="003D391E">
        <w:rPr>
          <w:rFonts w:ascii="Verdana" w:eastAsia="Times New Roman" w:hAnsi="Verdana" w:cs="Times New Roman"/>
          <w:color w:val="384A53"/>
          <w:sz w:val="20"/>
          <w:szCs w:val="20"/>
          <w:highlight w:val="lightGray"/>
        </w:rPr>
        <w:t xml:space="preserve">However, authorities still need to clarify in which pool the remaining 2 700 substances belong. This uncertain area is what is left after more than 10 years of systematic screening, focusing on substances of high concern. ECHA foresees that a significant number of them will undergo compliance checks or substance evaluation in the coming years to generate the necessary information for priority setting and assessment. Authorities need to speed up work on this uncertain area and to shorten the time between identifying a concern and initiating risk management measures. In particular, action to </w:t>
      </w:r>
      <w:proofErr w:type="spellStart"/>
      <w:r w:rsidRPr="003D391E">
        <w:rPr>
          <w:rFonts w:ascii="Verdana" w:eastAsia="Times New Roman" w:hAnsi="Verdana" w:cs="Times New Roman"/>
          <w:color w:val="384A53"/>
          <w:sz w:val="20"/>
          <w:szCs w:val="20"/>
          <w:highlight w:val="lightGray"/>
        </w:rPr>
        <w:t>harmonise</w:t>
      </w:r>
      <w:proofErr w:type="spellEnd"/>
      <w:r w:rsidRPr="003D391E">
        <w:rPr>
          <w:rFonts w:ascii="Verdana" w:eastAsia="Times New Roman" w:hAnsi="Verdana" w:cs="Times New Roman"/>
          <w:color w:val="384A53"/>
          <w:sz w:val="20"/>
          <w:szCs w:val="20"/>
          <w:highlight w:val="lightGray"/>
        </w:rPr>
        <w:t xml:space="preserve"> the classification or action under other legislation should be taken faster</w:t>
      </w:r>
      <w:r w:rsidRPr="00BF0857">
        <w:rPr>
          <w:rFonts w:ascii="Verdana" w:eastAsia="Times New Roman" w:hAnsi="Verdana" w:cs="Times New Roman"/>
          <w:color w:val="384A53"/>
          <w:sz w:val="20"/>
          <w:szCs w:val="20"/>
        </w:rPr>
        <w:t>.</w:t>
      </w:r>
    </w:p>
    <w:p w14:paraId="0ACF94F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F5B27"/>
    <w:multiLevelType w:val="multilevel"/>
    <w:tmpl w:val="742A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5E"/>
    <w:rsid w:val="003D391E"/>
    <w:rsid w:val="00453EED"/>
    <w:rsid w:val="00851F5E"/>
    <w:rsid w:val="00BE080D"/>
    <w:rsid w:val="00BF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C5174"/>
  <w14:defaultImageDpi w14:val="32767"/>
  <w15:chartTrackingRefBased/>
  <w15:docId w15:val="{96D89986-4829-924A-96C2-2463FB23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F085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8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085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0857"/>
    <w:rPr>
      <w:b/>
      <w:bCs/>
    </w:rPr>
  </w:style>
  <w:style w:type="character" w:customStyle="1" w:styleId="apple-converted-space">
    <w:name w:val="apple-converted-space"/>
    <w:basedOn w:val="DefaultParagraphFont"/>
    <w:rsid w:val="00BF0857"/>
  </w:style>
  <w:style w:type="character" w:styleId="Emphasis">
    <w:name w:val="Emphasis"/>
    <w:basedOn w:val="DefaultParagraphFont"/>
    <w:uiPriority w:val="20"/>
    <w:qFormat/>
    <w:rsid w:val="00BF08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2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2020-02-17T11:04:00Z</dcterms:created>
  <dcterms:modified xsi:type="dcterms:W3CDTF">2020-04-18T11:29:00Z</dcterms:modified>
</cp:coreProperties>
</file>