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57F5E" w14:textId="77777777" w:rsidR="008D6FFB" w:rsidRPr="008D6FFB" w:rsidRDefault="008D6FFB" w:rsidP="008D6FFB">
      <w:pPr>
        <w:spacing w:after="225"/>
        <w:outlineLvl w:val="1"/>
        <w:rPr>
          <w:rFonts w:ascii="Verdana" w:eastAsia="Times New Roman" w:hAnsi="Verdana" w:cs="Times New Roman"/>
          <w:color w:val="384A53"/>
          <w:sz w:val="29"/>
          <w:szCs w:val="29"/>
        </w:rPr>
      </w:pPr>
      <w:r w:rsidRPr="00675269">
        <w:rPr>
          <w:rFonts w:ascii="Verdana" w:eastAsia="Times New Roman" w:hAnsi="Verdana" w:cs="Times New Roman"/>
          <w:color w:val="384A53"/>
          <w:sz w:val="29"/>
          <w:szCs w:val="29"/>
          <w:highlight w:val="lightGray"/>
        </w:rPr>
        <w:t>Companies should continue their Brexit preparations</w:t>
      </w:r>
    </w:p>
    <w:p w14:paraId="2AB42F03" w14:textId="77777777" w:rsidR="008D6FFB" w:rsidRPr="008D6FFB" w:rsidRDefault="008D6FFB" w:rsidP="008D6FFB">
      <w:pPr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8D6FFB">
        <w:rPr>
          <w:rFonts w:ascii="Helvetica Neue" w:eastAsia="Times New Roman" w:hAnsi="Helvetica Neue" w:cs="Times New Roman"/>
          <w:color w:val="555555"/>
          <w:sz w:val="21"/>
          <w:szCs w:val="21"/>
        </w:rPr>
        <w:t>ECHA/NR/19/17</w:t>
      </w:r>
      <w:r w:rsidRPr="008D6FFB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> </w:t>
      </w:r>
    </w:p>
    <w:p w14:paraId="5D7C5536" w14:textId="77777777" w:rsidR="008D6FFB" w:rsidRPr="008D6FFB" w:rsidRDefault="008D6FFB" w:rsidP="008D6FFB">
      <w:pPr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675269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  <w:highlight w:val="lightGray"/>
        </w:rPr>
        <w:t>With regard to the decision of the European Council to extend the UK withdrawal negotiation deadline, ECHA advises companies to continue preparing for a new, flexible withdrawal date.</w:t>
      </w:r>
    </w:p>
    <w:p w14:paraId="05DDF1A1" w14:textId="77777777" w:rsidR="008D6FFB" w:rsidRPr="008D6FFB" w:rsidRDefault="008D6FFB" w:rsidP="008D6FFB">
      <w:pPr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8D6FFB">
        <w:rPr>
          <w:rFonts w:ascii="Helvetica Neue" w:eastAsia="Times New Roman" w:hAnsi="Helvetica Neue" w:cs="Times New Roman"/>
          <w:color w:val="555555"/>
          <w:sz w:val="21"/>
          <w:szCs w:val="21"/>
        </w:rPr>
        <w:t> </w:t>
      </w:r>
    </w:p>
    <w:p w14:paraId="2E8B6E61" w14:textId="77777777" w:rsidR="008D6FFB" w:rsidRPr="008D6FFB" w:rsidRDefault="008D6FFB" w:rsidP="008D6FFB">
      <w:pPr>
        <w:spacing w:after="225" w:line="298" w:lineRule="atLeast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8D6FFB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Helsinki, 15 April 2019</w:t>
      </w:r>
      <w:r w:rsidRPr="008D6FFB">
        <w:rPr>
          <w:rFonts w:ascii="Helvetica Neue" w:eastAsia="Times New Roman" w:hAnsi="Helvetica Neue" w:cs="Times New Roman"/>
          <w:color w:val="555555"/>
          <w:sz w:val="21"/>
          <w:szCs w:val="21"/>
        </w:rPr>
        <w:t> – </w:t>
      </w:r>
      <w:r w:rsidRPr="008D6FFB">
        <w:rPr>
          <w:rFonts w:ascii="Verdana" w:eastAsia="Times New Roman" w:hAnsi="Verdana" w:cs="Times New Roman"/>
          <w:color w:val="384A53"/>
          <w:sz w:val="20"/>
          <w:szCs w:val="20"/>
        </w:rPr>
        <w:t>As the extension allows the UK to ratify the Withdrawal Agreement at any point before the end of October 2019, ECHA recommends companies to continue preparing for a new, flexible withdrawal date.</w:t>
      </w:r>
    </w:p>
    <w:p w14:paraId="36163E41" w14:textId="77777777" w:rsidR="008D6FFB" w:rsidRPr="008D6FFB" w:rsidRDefault="008D6FFB" w:rsidP="008D6FFB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675269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With regard to the transfer of registrations and other assets from UK entities to EU-27 entities, ECHA’s previously published instructions remain valid. Companies need to make their own business decisions about the timing of initiating the transfer, or to terminate the transfers initiated but not yet completed</w:t>
      </w:r>
      <w:bookmarkStart w:id="0" w:name="_GoBack"/>
      <w:bookmarkEnd w:id="0"/>
      <w:r w:rsidRPr="008D6FFB">
        <w:rPr>
          <w:rFonts w:ascii="Verdana" w:eastAsia="Times New Roman" w:hAnsi="Verdana" w:cs="Times New Roman"/>
          <w:color w:val="384A53"/>
          <w:sz w:val="20"/>
          <w:szCs w:val="20"/>
        </w:rPr>
        <w:t xml:space="preserve">. </w:t>
      </w:r>
      <w:r w:rsidRPr="00675269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This can be done directly in REACH-IT, following the step-by-step guidance.</w:t>
      </w:r>
      <w:r w:rsidRPr="008D6FFB">
        <w:rPr>
          <w:rFonts w:ascii="Verdana" w:eastAsia="Times New Roman" w:hAnsi="Verdana" w:cs="Times New Roman"/>
          <w:color w:val="384A53"/>
          <w:sz w:val="20"/>
          <w:szCs w:val="20"/>
        </w:rPr>
        <w:t xml:space="preserve"> However, if companies need to update their dossiers, they need to terminate or complete the transfer to enable the updating.</w:t>
      </w:r>
    </w:p>
    <w:p w14:paraId="0E5F143D" w14:textId="77777777" w:rsidR="008D6FFB" w:rsidRPr="008D6FFB" w:rsidRDefault="008D6FFB" w:rsidP="008D6FFB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8D6FFB">
        <w:rPr>
          <w:rFonts w:ascii="Verdana" w:eastAsia="Times New Roman" w:hAnsi="Verdana" w:cs="Times New Roman"/>
          <w:color w:val="384A53"/>
          <w:sz w:val="20"/>
          <w:szCs w:val="20"/>
        </w:rPr>
        <w:t>Under the PIC Regulation, the EU-27 companies should still use the manual notification form for any planned export taking place less than 35 days after the UK withdrawal.</w:t>
      </w:r>
    </w:p>
    <w:p w14:paraId="11DF15C0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DF"/>
    <w:rsid w:val="001F4ADF"/>
    <w:rsid w:val="00453EED"/>
    <w:rsid w:val="00675269"/>
    <w:rsid w:val="008D6FFB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DE53A"/>
  <w14:defaultImageDpi w14:val="32767"/>
  <w15:chartTrackingRefBased/>
  <w15:docId w15:val="{10A8D612-B960-4049-9B88-B95A3103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F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6F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6F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F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2020-02-17T11:04:00Z</dcterms:created>
  <dcterms:modified xsi:type="dcterms:W3CDTF">2020-04-18T11:30:00Z</dcterms:modified>
</cp:coreProperties>
</file>