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6F57" w14:textId="77777777" w:rsidR="00FB446C" w:rsidRPr="00FB446C" w:rsidRDefault="00FB446C" w:rsidP="00FB446C">
      <w:pPr>
        <w:spacing w:after="225"/>
        <w:outlineLvl w:val="1"/>
        <w:rPr>
          <w:rFonts w:ascii="inherit" w:eastAsia="Times New Roman" w:hAnsi="inherit" w:cs="Times New Roman"/>
          <w:sz w:val="29"/>
          <w:szCs w:val="29"/>
        </w:rPr>
      </w:pPr>
      <w:r w:rsidRPr="009565DC">
        <w:rPr>
          <w:rFonts w:ascii="inherit" w:eastAsia="Times New Roman" w:hAnsi="inherit" w:cs="Times New Roman"/>
          <w:sz w:val="29"/>
          <w:szCs w:val="29"/>
          <w:highlight w:val="lightGray"/>
        </w:rPr>
        <w:t>Companies recommended to transfer registrations before the UK’s withdrawal</w:t>
      </w:r>
    </w:p>
    <w:p w14:paraId="33726B32" w14:textId="77777777" w:rsidR="00FB446C" w:rsidRPr="00FB446C" w:rsidRDefault="00FB446C" w:rsidP="00FB446C">
      <w:pPr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FB446C">
        <w:rPr>
          <w:rFonts w:ascii="Helvetica Neue" w:eastAsia="Times New Roman" w:hAnsi="Helvetica Neue" w:cs="Times New Roman"/>
          <w:color w:val="555555"/>
          <w:sz w:val="21"/>
          <w:szCs w:val="21"/>
        </w:rPr>
        <w:t>ECHA/NR/19/16</w:t>
      </w:r>
      <w:r w:rsidRPr="00FB446C">
        <w:rPr>
          <w:rFonts w:ascii="Helvetica Neue" w:eastAsia="Times New Roman" w:hAnsi="Helvetica Neue" w:cs="Times New Roman"/>
          <w:color w:val="555555"/>
          <w:sz w:val="21"/>
          <w:szCs w:val="21"/>
        </w:rPr>
        <w:br/>
        <w:t> </w:t>
      </w:r>
    </w:p>
    <w:p w14:paraId="47872A1E" w14:textId="77777777" w:rsidR="00FB446C" w:rsidRPr="00FB446C" w:rsidRDefault="00FB446C" w:rsidP="00FB446C">
      <w:pPr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565DC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  <w:highlight w:val="lightGray"/>
        </w:rPr>
        <w:t>ECHA continues to recommend companies to prepare for the UK withdrawal without a transition period</w:t>
      </w:r>
      <w:r w:rsidRPr="00FB446C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 xml:space="preserve">, </w:t>
      </w:r>
      <w:r w:rsidRPr="009565DC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  <w:highlight w:val="yellow"/>
        </w:rPr>
        <w:t>now expected to take effect on 13 April 2019, at 00:00 hours CET (i.e. 12 April 2019, 11 p.m. UK time).</w:t>
      </w:r>
    </w:p>
    <w:p w14:paraId="27678948" w14:textId="77777777" w:rsidR="00FB446C" w:rsidRPr="00FB446C" w:rsidRDefault="00FB446C" w:rsidP="00FB446C">
      <w:pPr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FB446C">
        <w:rPr>
          <w:rFonts w:ascii="Helvetica Neue" w:eastAsia="Times New Roman" w:hAnsi="Helvetica Neue" w:cs="Times New Roman"/>
          <w:color w:val="555555"/>
          <w:sz w:val="21"/>
          <w:szCs w:val="21"/>
        </w:rPr>
        <w:t> </w:t>
      </w:r>
    </w:p>
    <w:p w14:paraId="4A0A5477" w14:textId="77777777" w:rsidR="00FB446C" w:rsidRPr="00FB446C" w:rsidRDefault="00FB446C" w:rsidP="00FB446C">
      <w:pPr>
        <w:spacing w:after="225" w:line="298" w:lineRule="atLeast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FB446C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Helsinki, 3 April 2019</w:t>
      </w:r>
      <w:r w:rsidRPr="00FB446C">
        <w:rPr>
          <w:rFonts w:ascii="Helvetica Neue" w:eastAsia="Times New Roman" w:hAnsi="Helvetica Neue" w:cs="Times New Roman"/>
          <w:color w:val="555555"/>
          <w:sz w:val="21"/>
          <w:szCs w:val="21"/>
        </w:rPr>
        <w:t> – </w:t>
      </w:r>
      <w:bookmarkStart w:id="0" w:name="_GoBack"/>
      <w:bookmarkEnd w:id="0"/>
      <w:r w:rsidRPr="009565DC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Companies are reminded to initiate the transfer of their registrations and other assets through ECHA’s IT tools before the UK withdrawal takes effect (on 13 April 2019, at 00:00 hours CET), and not to leave these transactions to the last moment.</w:t>
      </w:r>
    </w:p>
    <w:p w14:paraId="095733BF" w14:textId="77777777" w:rsidR="00FB446C" w:rsidRPr="00FB446C" w:rsidRDefault="00FB446C" w:rsidP="00FB446C">
      <w:pPr>
        <w:spacing w:after="225" w:line="277" w:lineRule="atLeast"/>
        <w:rPr>
          <w:rFonts w:ascii="Times New Roman" w:eastAsia="Times New Roman" w:hAnsi="Times New Roman" w:cs="Times New Roman"/>
        </w:rPr>
      </w:pPr>
      <w:r w:rsidRPr="00FB446C">
        <w:rPr>
          <w:rFonts w:ascii="Verdana" w:eastAsia="Times New Roman" w:hAnsi="Verdana" w:cs="Times New Roman"/>
          <w:color w:val="384A53"/>
          <w:sz w:val="20"/>
          <w:szCs w:val="20"/>
        </w:rPr>
        <w:t>The number of registrations for which a transfer was initiated from a UK-based registrant to an EU-27 based company is increasing, with the cumulative figure exceeding 4 800 by the end of March out of approximately 12 000 UK registrations in total.</w:t>
      </w:r>
    </w:p>
    <w:p w14:paraId="7168EA0B" w14:textId="77777777" w:rsidR="00FB446C" w:rsidRPr="00FB446C" w:rsidRDefault="00FB446C" w:rsidP="00FB446C">
      <w:pPr>
        <w:rPr>
          <w:rFonts w:ascii="Times New Roman" w:eastAsia="Times New Roman" w:hAnsi="Times New Roman" w:cs="Times New Roman"/>
        </w:rPr>
      </w:pPr>
      <w:r w:rsidRPr="00FB446C">
        <w:rPr>
          <w:rFonts w:ascii="Verdana" w:eastAsia="Times New Roman" w:hAnsi="Verdana" w:cs="Times New Roman"/>
          <w:color w:val="384A53"/>
          <w:sz w:val="20"/>
          <w:szCs w:val="20"/>
        </w:rPr>
        <w:t xml:space="preserve">Companies can still benefit from the advice and practical instructions on ECHA’s website to </w:t>
      </w:r>
      <w:proofErr w:type="spellStart"/>
      <w:r w:rsidRPr="00FB446C">
        <w:rPr>
          <w:rFonts w:ascii="Verdana" w:eastAsia="Times New Roman" w:hAnsi="Verdana" w:cs="Times New Roman"/>
          <w:color w:val="384A53"/>
          <w:sz w:val="20"/>
          <w:szCs w:val="20"/>
        </w:rPr>
        <w:t>minimise</w:t>
      </w:r>
      <w:proofErr w:type="spellEnd"/>
      <w:r w:rsidRPr="00FB446C">
        <w:rPr>
          <w:rFonts w:ascii="Verdana" w:eastAsia="Times New Roman" w:hAnsi="Verdana" w:cs="Times New Roman"/>
          <w:color w:val="384A53"/>
          <w:sz w:val="20"/>
          <w:szCs w:val="20"/>
        </w:rPr>
        <w:t xml:space="preserve"> the impact of the UK’s withdrawal on their business, concerning REACH, CLP, PIC and the Biocidal Products Regulation.</w:t>
      </w:r>
    </w:p>
    <w:p w14:paraId="60E7A905" w14:textId="77777777" w:rsidR="00FB446C" w:rsidRPr="00FB446C" w:rsidRDefault="00FB446C" w:rsidP="00FB446C">
      <w:pPr>
        <w:rPr>
          <w:rFonts w:ascii="Times New Roman" w:eastAsia="Times New Roman" w:hAnsi="Times New Roman" w:cs="Times New Roman"/>
        </w:rPr>
      </w:pPr>
    </w:p>
    <w:p w14:paraId="5F19849A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66"/>
    <w:rsid w:val="00052966"/>
    <w:rsid w:val="00453EED"/>
    <w:rsid w:val="009565DC"/>
    <w:rsid w:val="00BE080D"/>
    <w:rsid w:val="00FB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A3DD7"/>
  <w14:defaultImageDpi w14:val="32767"/>
  <w15:chartTrackingRefBased/>
  <w15:docId w15:val="{E8A0E2CC-323A-314F-9BDA-C5CCF08B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44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4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B44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44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2020-02-17T11:04:00Z</dcterms:created>
  <dcterms:modified xsi:type="dcterms:W3CDTF">2020-04-18T11:32:00Z</dcterms:modified>
</cp:coreProperties>
</file>