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DF6F" w14:textId="77777777" w:rsidR="00411E52" w:rsidRPr="00411E52" w:rsidRDefault="00411E52" w:rsidP="00411E52">
      <w:pPr>
        <w:spacing w:after="225"/>
        <w:outlineLvl w:val="1"/>
        <w:rPr>
          <w:rFonts w:ascii="Verdana" w:eastAsia="Times New Roman" w:hAnsi="Verdana" w:cs="Times New Roman"/>
          <w:color w:val="384A53"/>
          <w:sz w:val="29"/>
          <w:szCs w:val="29"/>
        </w:rPr>
      </w:pPr>
      <w:r w:rsidRPr="00411E52">
        <w:rPr>
          <w:rFonts w:ascii="Verdana" w:eastAsia="Times New Roman" w:hAnsi="Verdana" w:cs="Times New Roman"/>
          <w:color w:val="384A53"/>
          <w:sz w:val="29"/>
          <w:szCs w:val="29"/>
        </w:rPr>
        <w:t>Enforcement authorities to focus on evaluation decisions</w:t>
      </w:r>
    </w:p>
    <w:p w14:paraId="36138084" w14:textId="77777777" w:rsidR="00411E52" w:rsidRPr="00411E52" w:rsidRDefault="00411E52" w:rsidP="00411E52">
      <w:pPr>
        <w:rPr>
          <w:rFonts w:ascii="Helvetica Neue" w:eastAsia="Times New Roman" w:hAnsi="Helvetica Neue" w:cs="Times New Roman"/>
          <w:color w:val="555555"/>
          <w:sz w:val="21"/>
          <w:szCs w:val="21"/>
        </w:rPr>
      </w:pPr>
      <w:r w:rsidRPr="00411E52">
        <w:rPr>
          <w:rFonts w:ascii="Helvetica Neue" w:eastAsia="Times New Roman" w:hAnsi="Helvetica Neue" w:cs="Times New Roman"/>
          <w:color w:val="555555"/>
          <w:sz w:val="21"/>
          <w:szCs w:val="21"/>
        </w:rPr>
        <w:t>ECHA/NR/19/15</w:t>
      </w:r>
      <w:r w:rsidRPr="00411E52">
        <w:rPr>
          <w:rFonts w:ascii="Helvetica Neue" w:eastAsia="Times New Roman" w:hAnsi="Helvetica Neue" w:cs="Times New Roman"/>
          <w:color w:val="555555"/>
          <w:sz w:val="21"/>
          <w:szCs w:val="21"/>
        </w:rPr>
        <w:br/>
        <w:t> </w:t>
      </w:r>
    </w:p>
    <w:p w14:paraId="25360911" w14:textId="77777777" w:rsidR="00411E52" w:rsidRPr="00411E52" w:rsidRDefault="00411E52" w:rsidP="00411E52">
      <w:pPr>
        <w:rPr>
          <w:rFonts w:ascii="Helvetica Neue" w:eastAsia="Times New Roman" w:hAnsi="Helvetica Neue" w:cs="Times New Roman"/>
          <w:color w:val="555555"/>
          <w:sz w:val="21"/>
          <w:szCs w:val="21"/>
        </w:rPr>
      </w:pPr>
      <w:bookmarkStart w:id="0" w:name="_GoBack"/>
      <w:bookmarkEnd w:id="0"/>
      <w:r w:rsidRPr="00E57DDD">
        <w:rPr>
          <w:rFonts w:ascii="Helvetica Neue" w:eastAsia="Times New Roman" w:hAnsi="Helvetica Neue" w:cs="Times New Roman"/>
          <w:b/>
          <w:bCs/>
          <w:color w:val="555555"/>
          <w:sz w:val="21"/>
          <w:szCs w:val="21"/>
          <w:highlight w:val="lightGray"/>
        </w:rPr>
        <w:t xml:space="preserve">With an increased focus on evaluation and an expected increase in the number of decisions, ECHA has invited enforcement authorities to </w:t>
      </w:r>
      <w:proofErr w:type="spellStart"/>
      <w:r w:rsidRPr="00E57DDD">
        <w:rPr>
          <w:rFonts w:ascii="Helvetica Neue" w:eastAsia="Times New Roman" w:hAnsi="Helvetica Neue" w:cs="Times New Roman"/>
          <w:b/>
          <w:bCs/>
          <w:color w:val="555555"/>
          <w:sz w:val="21"/>
          <w:szCs w:val="21"/>
          <w:highlight w:val="lightGray"/>
        </w:rPr>
        <w:t>prioritise</w:t>
      </w:r>
      <w:proofErr w:type="spellEnd"/>
      <w:r w:rsidRPr="00E57DDD">
        <w:rPr>
          <w:rFonts w:ascii="Helvetica Neue" w:eastAsia="Times New Roman" w:hAnsi="Helvetica Neue" w:cs="Times New Roman"/>
          <w:b/>
          <w:bCs/>
          <w:color w:val="555555"/>
          <w:sz w:val="21"/>
          <w:szCs w:val="21"/>
          <w:highlight w:val="lightGray"/>
        </w:rPr>
        <w:t xml:space="preserve"> the enforcement of evaluation decisions.</w:t>
      </w:r>
    </w:p>
    <w:p w14:paraId="2506A519" w14:textId="77777777" w:rsidR="00411E52" w:rsidRPr="00411E52" w:rsidRDefault="00411E52" w:rsidP="00411E52">
      <w:pPr>
        <w:rPr>
          <w:rFonts w:ascii="Helvetica Neue" w:eastAsia="Times New Roman" w:hAnsi="Helvetica Neue" w:cs="Times New Roman"/>
          <w:color w:val="555555"/>
          <w:sz w:val="21"/>
          <w:szCs w:val="21"/>
        </w:rPr>
      </w:pPr>
      <w:r w:rsidRPr="00411E52">
        <w:rPr>
          <w:rFonts w:ascii="Helvetica Neue" w:eastAsia="Times New Roman" w:hAnsi="Helvetica Neue" w:cs="Times New Roman"/>
          <w:color w:val="555555"/>
          <w:sz w:val="21"/>
          <w:szCs w:val="21"/>
        </w:rPr>
        <w:t> </w:t>
      </w:r>
    </w:p>
    <w:p w14:paraId="0AF87458" w14:textId="77777777" w:rsidR="00411E52" w:rsidRPr="00411E52" w:rsidRDefault="00411E52" w:rsidP="00411E52">
      <w:pPr>
        <w:spacing w:after="225" w:line="298" w:lineRule="atLeast"/>
        <w:rPr>
          <w:rFonts w:ascii="Helvetica Neue" w:eastAsia="Times New Roman" w:hAnsi="Helvetica Neue" w:cs="Times New Roman"/>
          <w:color w:val="555555"/>
          <w:sz w:val="21"/>
          <w:szCs w:val="21"/>
        </w:rPr>
      </w:pPr>
      <w:r w:rsidRPr="00411E52">
        <w:rPr>
          <w:rFonts w:ascii="Helvetica Neue" w:eastAsia="Times New Roman" w:hAnsi="Helvetica Neue" w:cs="Times New Roman"/>
          <w:b/>
          <w:bCs/>
          <w:color w:val="555555"/>
          <w:sz w:val="21"/>
          <w:szCs w:val="21"/>
        </w:rPr>
        <w:t>Helsinki, 26 March 2019</w:t>
      </w:r>
      <w:r w:rsidRPr="00411E52">
        <w:rPr>
          <w:rFonts w:ascii="Helvetica Neue" w:eastAsia="Times New Roman" w:hAnsi="Helvetica Neue" w:cs="Times New Roman"/>
          <w:color w:val="555555"/>
          <w:sz w:val="21"/>
          <w:szCs w:val="21"/>
        </w:rPr>
        <w:t> – </w:t>
      </w:r>
      <w:r w:rsidRPr="00411E52">
        <w:rPr>
          <w:rFonts w:ascii="Verdana" w:eastAsia="Times New Roman" w:hAnsi="Verdana" w:cs="Times New Roman"/>
          <w:color w:val="384A53"/>
          <w:sz w:val="20"/>
          <w:szCs w:val="20"/>
        </w:rPr>
        <w:t xml:space="preserve">Since 1 January 2019, when checking the compliance of registration dossiers for substances ECHA has been addressing its evaluation decisions to all registrants with non-compliant dossiers. This was a change from the previous practice of mainly addressing lead registrants. Inspectors have effectively enforced ECHA’s decisions since 2013. ECHA has now invited the enforcement authorities to </w:t>
      </w:r>
      <w:proofErr w:type="spellStart"/>
      <w:r w:rsidRPr="00411E52">
        <w:rPr>
          <w:rFonts w:ascii="Verdana" w:eastAsia="Times New Roman" w:hAnsi="Verdana" w:cs="Times New Roman"/>
          <w:color w:val="384A53"/>
          <w:sz w:val="20"/>
          <w:szCs w:val="20"/>
        </w:rPr>
        <w:t>prioritise</w:t>
      </w:r>
      <w:proofErr w:type="spellEnd"/>
      <w:r w:rsidRPr="00411E52">
        <w:rPr>
          <w:rFonts w:ascii="Verdana" w:eastAsia="Times New Roman" w:hAnsi="Verdana" w:cs="Times New Roman"/>
          <w:color w:val="384A53"/>
          <w:sz w:val="20"/>
          <w:szCs w:val="20"/>
        </w:rPr>
        <w:t xml:space="preserve"> the evaluation decisions in their enforcement activities.</w:t>
      </w:r>
    </w:p>
    <w:p w14:paraId="789419A6" w14:textId="77777777" w:rsidR="00411E52" w:rsidRPr="00411E52" w:rsidRDefault="00411E52" w:rsidP="00411E52">
      <w:pPr>
        <w:spacing w:after="225" w:line="277" w:lineRule="atLeast"/>
        <w:rPr>
          <w:rFonts w:ascii="Verdana" w:eastAsia="Times New Roman" w:hAnsi="Verdana" w:cs="Times New Roman"/>
          <w:color w:val="384A53"/>
          <w:sz w:val="20"/>
          <w:szCs w:val="20"/>
        </w:rPr>
      </w:pPr>
      <w:r w:rsidRPr="00411E52">
        <w:rPr>
          <w:rFonts w:ascii="Verdana" w:eastAsia="Times New Roman" w:hAnsi="Verdana" w:cs="Times New Roman"/>
          <w:color w:val="384A53"/>
          <w:sz w:val="20"/>
          <w:szCs w:val="20"/>
        </w:rPr>
        <w:t xml:space="preserve">The Forum also agreed to start a pilot to voluntarily report annual national enforcement activities to the Agency. This will support the planning and </w:t>
      </w:r>
      <w:proofErr w:type="spellStart"/>
      <w:r w:rsidRPr="00411E52">
        <w:rPr>
          <w:rFonts w:ascii="Verdana" w:eastAsia="Times New Roman" w:hAnsi="Verdana" w:cs="Times New Roman"/>
          <w:color w:val="384A53"/>
          <w:sz w:val="20"/>
          <w:szCs w:val="20"/>
        </w:rPr>
        <w:t>prioritisation</w:t>
      </w:r>
      <w:proofErr w:type="spellEnd"/>
      <w:r w:rsidRPr="00411E52">
        <w:rPr>
          <w:rFonts w:ascii="Verdana" w:eastAsia="Times New Roman" w:hAnsi="Verdana" w:cs="Times New Roman"/>
          <w:color w:val="384A53"/>
          <w:sz w:val="20"/>
          <w:szCs w:val="20"/>
        </w:rPr>
        <w:t xml:space="preserve"> of the Forum’s activities. This annual reporting would be done in addition to the mandatory reports, which the Member States submit to the Commission every five years. A template will be prepared and sent to national enforcement authorities. After the pilot phase, the Forum will decide whether the practice of annual reporting of enforcement related activities will continue.</w:t>
      </w:r>
    </w:p>
    <w:p w14:paraId="64A8F2A8" w14:textId="77777777" w:rsidR="00411E52" w:rsidRPr="00411E52" w:rsidRDefault="00411E52" w:rsidP="00411E52">
      <w:pPr>
        <w:spacing w:after="225" w:line="277" w:lineRule="atLeast"/>
        <w:rPr>
          <w:rFonts w:ascii="Verdana" w:eastAsia="Times New Roman" w:hAnsi="Verdana" w:cs="Times New Roman"/>
          <w:color w:val="384A53"/>
          <w:sz w:val="20"/>
          <w:szCs w:val="20"/>
        </w:rPr>
      </w:pPr>
      <w:r w:rsidRPr="00411E52">
        <w:rPr>
          <w:rFonts w:ascii="Verdana" w:eastAsia="Times New Roman" w:hAnsi="Verdana" w:cs="Times New Roman"/>
          <w:color w:val="384A53"/>
          <w:sz w:val="20"/>
          <w:szCs w:val="20"/>
        </w:rPr>
        <w:t xml:space="preserve">Finally, the Forum’s Biocidal Products Regulation (BPR) subgroup agreed to work together with the Biocidal Products Committee (BPC) to test whether national enforcement authorities can provide advice on the enforceability of risk mitigation measures that are proposed by the BPC for applications for approval of active substances and Union </w:t>
      </w:r>
      <w:proofErr w:type="spellStart"/>
      <w:r w:rsidRPr="00411E52">
        <w:rPr>
          <w:rFonts w:ascii="Verdana" w:eastAsia="Times New Roman" w:hAnsi="Verdana" w:cs="Times New Roman"/>
          <w:color w:val="384A53"/>
          <w:sz w:val="20"/>
          <w:szCs w:val="20"/>
        </w:rPr>
        <w:t>authorisations</w:t>
      </w:r>
      <w:proofErr w:type="spellEnd"/>
      <w:r w:rsidRPr="00411E52">
        <w:rPr>
          <w:rFonts w:ascii="Verdana" w:eastAsia="Times New Roman" w:hAnsi="Verdana" w:cs="Times New Roman"/>
          <w:color w:val="384A53"/>
          <w:sz w:val="20"/>
          <w:szCs w:val="20"/>
        </w:rPr>
        <w:t xml:space="preserve"> of biocidal products.</w:t>
      </w:r>
      <w:r w:rsidRPr="00411E52">
        <w:rPr>
          <w:rFonts w:ascii="Verdana" w:eastAsia="Times New Roman" w:hAnsi="Verdana" w:cs="Times New Roman"/>
          <w:color w:val="384A53"/>
          <w:sz w:val="20"/>
          <w:szCs w:val="20"/>
        </w:rPr>
        <w:br/>
      </w:r>
      <w:r w:rsidRPr="00411E52">
        <w:rPr>
          <w:rFonts w:ascii="Verdana" w:eastAsia="Times New Roman" w:hAnsi="Verdana" w:cs="Times New Roman"/>
          <w:color w:val="384A53"/>
          <w:sz w:val="20"/>
          <w:szCs w:val="20"/>
        </w:rPr>
        <w:br/>
        <w:t>The Forum for exchange of information on enforcement and its BPR subgroup met in Helsinki on 19-22 March 2019.</w:t>
      </w:r>
    </w:p>
    <w:p w14:paraId="57812BC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6F"/>
    <w:rsid w:val="00411E52"/>
    <w:rsid w:val="00453EED"/>
    <w:rsid w:val="00537D6F"/>
    <w:rsid w:val="00BE080D"/>
    <w:rsid w:val="00E5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CB5BA"/>
  <w14:defaultImageDpi w14:val="32767"/>
  <w15:chartTrackingRefBased/>
  <w15:docId w15:val="{5529C86D-548E-BD40-91E8-8F857CBF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11E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1E52"/>
    <w:rPr>
      <w:rFonts w:ascii="Times New Roman" w:eastAsia="Times New Roman" w:hAnsi="Times New Roman" w:cs="Times New Roman"/>
      <w:b/>
      <w:bCs/>
      <w:sz w:val="36"/>
      <w:szCs w:val="36"/>
    </w:rPr>
  </w:style>
  <w:style w:type="character" w:styleId="Strong">
    <w:name w:val="Strong"/>
    <w:basedOn w:val="DefaultParagraphFont"/>
    <w:uiPriority w:val="22"/>
    <w:qFormat/>
    <w:rsid w:val="00411E52"/>
    <w:rPr>
      <w:b/>
      <w:bCs/>
    </w:rPr>
  </w:style>
  <w:style w:type="paragraph" w:styleId="NormalWeb">
    <w:name w:val="Normal (Web)"/>
    <w:basedOn w:val="Normal"/>
    <w:uiPriority w:val="99"/>
    <w:semiHidden/>
    <w:unhideWhenUsed/>
    <w:rsid w:val="00411E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93708">
      <w:bodyDiv w:val="1"/>
      <w:marLeft w:val="0"/>
      <w:marRight w:val="0"/>
      <w:marTop w:val="0"/>
      <w:marBottom w:val="0"/>
      <w:divBdr>
        <w:top w:val="none" w:sz="0" w:space="0" w:color="auto"/>
        <w:left w:val="none" w:sz="0" w:space="0" w:color="auto"/>
        <w:bottom w:val="none" w:sz="0" w:space="0" w:color="auto"/>
        <w:right w:val="none" w:sz="0" w:space="0" w:color="auto"/>
      </w:divBdr>
      <w:divsChild>
        <w:div w:id="581450828">
          <w:marLeft w:val="0"/>
          <w:marRight w:val="0"/>
          <w:marTop w:val="0"/>
          <w:marBottom w:val="0"/>
          <w:divBdr>
            <w:top w:val="none" w:sz="0" w:space="0" w:color="auto"/>
            <w:left w:val="none" w:sz="0" w:space="0" w:color="auto"/>
            <w:bottom w:val="none" w:sz="0" w:space="0" w:color="auto"/>
            <w:right w:val="none" w:sz="0" w:space="0" w:color="auto"/>
          </w:divBdr>
        </w:div>
        <w:div w:id="1043209855">
          <w:marLeft w:val="0"/>
          <w:marRight w:val="0"/>
          <w:marTop w:val="0"/>
          <w:marBottom w:val="0"/>
          <w:divBdr>
            <w:top w:val="none" w:sz="0" w:space="0" w:color="auto"/>
            <w:left w:val="none" w:sz="0" w:space="0" w:color="auto"/>
            <w:bottom w:val="none" w:sz="0" w:space="0" w:color="auto"/>
            <w:right w:val="none" w:sz="0" w:space="0" w:color="auto"/>
          </w:divBdr>
        </w:div>
        <w:div w:id="28723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2020-02-17T11:05:00Z</dcterms:created>
  <dcterms:modified xsi:type="dcterms:W3CDTF">2020-04-18T11:33:00Z</dcterms:modified>
</cp:coreProperties>
</file>