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B6EB" w14:textId="77777777" w:rsidR="00EF6BE2" w:rsidRPr="00EF6BE2" w:rsidRDefault="00EF6BE2" w:rsidP="00EF6BE2">
      <w:pPr>
        <w:spacing w:after="225"/>
        <w:outlineLvl w:val="1"/>
        <w:rPr>
          <w:rFonts w:ascii="inherit" w:eastAsia="Times New Roman" w:hAnsi="inherit" w:cs="Times New Roman"/>
          <w:sz w:val="29"/>
          <w:szCs w:val="29"/>
        </w:rPr>
      </w:pPr>
      <w:r w:rsidRPr="00EF6BE2">
        <w:rPr>
          <w:rFonts w:ascii="inherit" w:eastAsia="Times New Roman" w:hAnsi="inherit" w:cs="Times New Roman"/>
          <w:sz w:val="29"/>
          <w:szCs w:val="29"/>
        </w:rPr>
        <w:t>Mapping the chemical universe: List of substances by regulatory action published</w:t>
      </w:r>
    </w:p>
    <w:p w14:paraId="5A4E2CF6" w14:textId="77777777" w:rsidR="00EF6BE2" w:rsidRPr="00EF6BE2" w:rsidRDefault="00EF6BE2" w:rsidP="00EF6BE2">
      <w:pPr>
        <w:spacing w:after="225" w:line="277" w:lineRule="atLeast"/>
        <w:rPr>
          <w:rFonts w:ascii="Times New Roman" w:eastAsia="Times New Roman" w:hAnsi="Times New Roman" w:cs="Times New Roman"/>
        </w:rPr>
      </w:pPr>
      <w:r w:rsidRPr="00EF6BE2">
        <w:rPr>
          <w:rFonts w:ascii="Times New Roman" w:eastAsia="Times New Roman" w:hAnsi="Times New Roman" w:cs="Times New Roman"/>
        </w:rPr>
        <w:t>ECHA/PR/19/16</w:t>
      </w:r>
    </w:p>
    <w:p w14:paraId="041FC02C" w14:textId="77777777" w:rsidR="00EF6BE2" w:rsidRPr="00EF6BE2" w:rsidRDefault="00EF6BE2" w:rsidP="00EF6BE2">
      <w:pPr>
        <w:spacing w:after="225" w:line="277" w:lineRule="atLeast"/>
        <w:rPr>
          <w:rFonts w:ascii="Times New Roman" w:eastAsia="Times New Roman" w:hAnsi="Times New Roman" w:cs="Times New Roman"/>
        </w:rPr>
      </w:pPr>
      <w:r w:rsidRPr="00EF6BE2">
        <w:rPr>
          <w:rFonts w:ascii="Times New Roman" w:eastAsia="Times New Roman" w:hAnsi="Times New Roman" w:cs="Times New Roman"/>
          <w:b/>
          <w:bCs/>
        </w:rPr>
        <w:t xml:space="preserve">ECHA has published a list of over 21 000 REACH registered substances mapped in its 'chemical universe'. </w:t>
      </w:r>
      <w:r w:rsidRPr="008F79E0">
        <w:rPr>
          <w:rFonts w:ascii="Times New Roman" w:eastAsia="Times New Roman" w:hAnsi="Times New Roman" w:cs="Times New Roman"/>
          <w:b/>
          <w:bCs/>
          <w:highlight w:val="darkGray"/>
        </w:rPr>
        <w:t>The substances have been divided into five pools based on the regulatory actions in place, initiated or considered for them</w:t>
      </w:r>
      <w:r w:rsidRPr="00EF6BE2">
        <w:rPr>
          <w:rFonts w:ascii="Times New Roman" w:eastAsia="Times New Roman" w:hAnsi="Times New Roman" w:cs="Times New Roman"/>
          <w:b/>
          <w:bCs/>
        </w:rPr>
        <w:t xml:space="preserve">. </w:t>
      </w:r>
      <w:r w:rsidRPr="008F79E0">
        <w:rPr>
          <w:rFonts w:ascii="Times New Roman" w:eastAsia="Times New Roman" w:hAnsi="Times New Roman" w:cs="Times New Roman"/>
          <w:b/>
          <w:bCs/>
          <w:highlight w:val="lightGray"/>
        </w:rPr>
        <w:t>It also highlights that there are still thousands of substances for which possible actions have not yet been determined</w:t>
      </w:r>
      <w:r w:rsidRPr="00EF6BE2">
        <w:rPr>
          <w:rFonts w:ascii="Times New Roman" w:eastAsia="Times New Roman" w:hAnsi="Times New Roman" w:cs="Times New Roman"/>
          <w:b/>
          <w:bCs/>
        </w:rPr>
        <w:t>. </w:t>
      </w:r>
    </w:p>
    <w:p w14:paraId="511C138D" w14:textId="77777777" w:rsidR="00EF6BE2" w:rsidRPr="00EF6BE2" w:rsidRDefault="00EF6BE2" w:rsidP="00EF6BE2">
      <w:pPr>
        <w:spacing w:after="225" w:line="277" w:lineRule="atLeast"/>
        <w:rPr>
          <w:rFonts w:ascii="Times New Roman" w:eastAsia="Times New Roman" w:hAnsi="Times New Roman" w:cs="Times New Roman"/>
        </w:rPr>
      </w:pPr>
      <w:r w:rsidRPr="00EF6BE2">
        <w:rPr>
          <w:rFonts w:ascii="Times New Roman" w:eastAsia="Times New Roman" w:hAnsi="Times New Roman" w:cs="Times New Roman"/>
          <w:b/>
          <w:bCs/>
        </w:rPr>
        <w:t>Helsinki, 4 December 2019 – </w:t>
      </w:r>
      <w:r w:rsidRPr="008F79E0">
        <w:rPr>
          <w:rFonts w:ascii="Times New Roman" w:eastAsia="Times New Roman" w:hAnsi="Times New Roman" w:cs="Times New Roman"/>
          <w:highlight w:val="lightGray"/>
        </w:rPr>
        <w:t>The mapping of registered substances, also called the </w:t>
      </w:r>
      <w:r w:rsidRPr="008F79E0">
        <w:rPr>
          <w:rFonts w:ascii="Times New Roman" w:eastAsia="Times New Roman" w:hAnsi="Times New Roman" w:cs="Times New Roman"/>
          <w:i/>
          <w:iCs/>
          <w:highlight w:val="lightGray"/>
        </w:rPr>
        <w:t>chemical universe</w:t>
      </w:r>
      <w:r w:rsidRPr="008F79E0">
        <w:rPr>
          <w:rFonts w:ascii="Times New Roman" w:eastAsia="Times New Roman" w:hAnsi="Times New Roman" w:cs="Times New Roman"/>
          <w:highlight w:val="lightGray"/>
        </w:rPr>
        <w:t>, is a planning and monitoring tool that helps Member States and EU authorities focus on substances of (potential) concern and identify appropriate regulatory actions, where needed</w:t>
      </w:r>
      <w:r w:rsidRPr="00EF6BE2">
        <w:rPr>
          <w:rFonts w:ascii="Times New Roman" w:eastAsia="Times New Roman" w:hAnsi="Times New Roman" w:cs="Times New Roman"/>
        </w:rPr>
        <w:t xml:space="preserve">. </w:t>
      </w:r>
      <w:r w:rsidRPr="008F79E0">
        <w:rPr>
          <w:rFonts w:ascii="Times New Roman" w:eastAsia="Times New Roman" w:hAnsi="Times New Roman" w:cs="Times New Roman"/>
          <w:highlight w:val="lightGray"/>
        </w:rPr>
        <w:t>For companies and other stakeholders, publishing the mapping provides additional transparency on the work of authorities and the progress made in regulating chemicals.</w:t>
      </w:r>
    </w:p>
    <w:p w14:paraId="3D26F193" w14:textId="77777777" w:rsidR="00EF6BE2" w:rsidRPr="008F79E0" w:rsidRDefault="00EF6BE2" w:rsidP="00EF6BE2">
      <w:pPr>
        <w:spacing w:after="225" w:line="277" w:lineRule="atLeast"/>
        <w:rPr>
          <w:rFonts w:ascii="Times New Roman" w:eastAsia="Times New Roman" w:hAnsi="Times New Roman" w:cs="Times New Roman"/>
          <w:highlight w:val="darkGray"/>
        </w:rPr>
      </w:pPr>
      <w:r w:rsidRPr="008F79E0">
        <w:rPr>
          <w:rFonts w:ascii="Times New Roman" w:eastAsia="Times New Roman" w:hAnsi="Times New Roman" w:cs="Times New Roman"/>
          <w:highlight w:val="darkGray"/>
        </w:rPr>
        <w:t>Each substance in the universe has been assigned to a pool that indicates the regulatory actions in place, initiated, ongoing or under consideration. The five pools are:</w:t>
      </w:r>
    </w:p>
    <w:p w14:paraId="1A0E56B7" w14:textId="77777777" w:rsidR="00EF6BE2" w:rsidRPr="008F79E0" w:rsidRDefault="00EF6BE2" w:rsidP="00EF6BE2">
      <w:pPr>
        <w:numPr>
          <w:ilvl w:val="0"/>
          <w:numId w:val="1"/>
        </w:numPr>
        <w:spacing w:before="100" w:beforeAutospacing="1" w:after="100" w:afterAutospacing="1" w:line="277" w:lineRule="atLeast"/>
        <w:ind w:left="345"/>
        <w:rPr>
          <w:rFonts w:ascii="Times New Roman" w:eastAsia="Times New Roman" w:hAnsi="Times New Roman" w:cs="Times New Roman"/>
          <w:highlight w:val="darkGray"/>
        </w:rPr>
      </w:pPr>
      <w:r w:rsidRPr="008F79E0">
        <w:rPr>
          <w:rFonts w:ascii="Times New Roman" w:eastAsia="Times New Roman" w:hAnsi="Times New Roman" w:cs="Times New Roman"/>
          <w:b/>
          <w:bCs/>
          <w:color w:val="0046AD"/>
          <w:highlight w:val="darkGray"/>
        </w:rPr>
        <w:t>Regulatory risk management ongoing</w:t>
      </w:r>
      <w:r w:rsidRPr="008F79E0">
        <w:rPr>
          <w:rFonts w:ascii="Times New Roman" w:eastAsia="Times New Roman" w:hAnsi="Times New Roman" w:cs="Times New Roman"/>
          <w:highlight w:val="darkGray"/>
        </w:rPr>
        <w:t>: substances with confirmed hazards for human health and the environment.</w:t>
      </w:r>
    </w:p>
    <w:p w14:paraId="33217ACE" w14:textId="77777777" w:rsidR="00EF6BE2" w:rsidRPr="008F79E0" w:rsidRDefault="00EF6BE2" w:rsidP="00EF6BE2">
      <w:pPr>
        <w:numPr>
          <w:ilvl w:val="0"/>
          <w:numId w:val="1"/>
        </w:numPr>
        <w:spacing w:before="75" w:after="100" w:afterAutospacing="1" w:line="277" w:lineRule="atLeast"/>
        <w:ind w:left="345"/>
        <w:rPr>
          <w:rFonts w:ascii="Times New Roman" w:eastAsia="Times New Roman" w:hAnsi="Times New Roman" w:cs="Times New Roman"/>
          <w:highlight w:val="darkGray"/>
        </w:rPr>
      </w:pPr>
      <w:r w:rsidRPr="008F79E0">
        <w:rPr>
          <w:rFonts w:ascii="Times New Roman" w:eastAsia="Times New Roman" w:hAnsi="Times New Roman" w:cs="Times New Roman"/>
          <w:b/>
          <w:bCs/>
          <w:color w:val="0046AD"/>
          <w:highlight w:val="darkGray"/>
        </w:rPr>
        <w:t>Regulatory risk management under consideration:</w:t>
      </w:r>
      <w:r w:rsidRPr="008F79E0">
        <w:rPr>
          <w:rFonts w:ascii="Times New Roman" w:eastAsia="Times New Roman" w:hAnsi="Times New Roman" w:cs="Times New Roman"/>
          <w:highlight w:val="darkGray"/>
        </w:rPr>
        <w:t> substances that are currently being considered for regulatory risk management.</w:t>
      </w:r>
    </w:p>
    <w:p w14:paraId="2670FFE3" w14:textId="77777777" w:rsidR="00EF6BE2" w:rsidRPr="008F79E0" w:rsidRDefault="00EF6BE2" w:rsidP="00EF6BE2">
      <w:pPr>
        <w:numPr>
          <w:ilvl w:val="0"/>
          <w:numId w:val="1"/>
        </w:numPr>
        <w:spacing w:before="75" w:after="100" w:afterAutospacing="1" w:line="277" w:lineRule="atLeast"/>
        <w:ind w:left="345"/>
        <w:rPr>
          <w:rFonts w:ascii="Times New Roman" w:eastAsia="Times New Roman" w:hAnsi="Times New Roman" w:cs="Times New Roman"/>
          <w:highlight w:val="darkGray"/>
        </w:rPr>
      </w:pPr>
      <w:r w:rsidRPr="008F79E0">
        <w:rPr>
          <w:rFonts w:ascii="Times New Roman" w:eastAsia="Times New Roman" w:hAnsi="Times New Roman" w:cs="Times New Roman"/>
          <w:b/>
          <w:bCs/>
          <w:color w:val="0046AD"/>
          <w:highlight w:val="darkGray"/>
        </w:rPr>
        <w:t>Data generation</w:t>
      </w:r>
      <w:r w:rsidRPr="008F79E0">
        <w:rPr>
          <w:rFonts w:ascii="Times New Roman" w:eastAsia="Times New Roman" w:hAnsi="Times New Roman" w:cs="Times New Roman"/>
          <w:highlight w:val="darkGray"/>
        </w:rPr>
        <w:t>: substances that require additional information to conclude whether further regulatory action is needed.</w:t>
      </w:r>
    </w:p>
    <w:p w14:paraId="58157324" w14:textId="77777777" w:rsidR="00EF6BE2" w:rsidRPr="008F79E0" w:rsidRDefault="00EF6BE2" w:rsidP="00EF6BE2">
      <w:pPr>
        <w:numPr>
          <w:ilvl w:val="0"/>
          <w:numId w:val="1"/>
        </w:numPr>
        <w:spacing w:before="75" w:after="100" w:afterAutospacing="1" w:line="277" w:lineRule="atLeast"/>
        <w:ind w:left="345"/>
        <w:rPr>
          <w:rFonts w:ascii="Times New Roman" w:eastAsia="Times New Roman" w:hAnsi="Times New Roman" w:cs="Times New Roman"/>
          <w:highlight w:val="darkGray"/>
        </w:rPr>
      </w:pPr>
      <w:r w:rsidRPr="008F79E0">
        <w:rPr>
          <w:rFonts w:ascii="Times New Roman" w:eastAsia="Times New Roman" w:hAnsi="Times New Roman" w:cs="Times New Roman"/>
          <w:b/>
          <w:bCs/>
          <w:color w:val="0046AD"/>
          <w:highlight w:val="darkGray"/>
        </w:rPr>
        <w:t>Currently no further actions proposed</w:t>
      </w:r>
      <w:r w:rsidRPr="008F79E0">
        <w:rPr>
          <w:rFonts w:ascii="Times New Roman" w:eastAsia="Times New Roman" w:hAnsi="Times New Roman" w:cs="Times New Roman"/>
          <w:highlight w:val="darkGray"/>
        </w:rPr>
        <w:t>: substances for which authorities have not proposed further regulatory action at the moment.</w:t>
      </w:r>
    </w:p>
    <w:p w14:paraId="49EF1773" w14:textId="77777777" w:rsidR="00EF6BE2" w:rsidRPr="008F79E0" w:rsidRDefault="00EF6BE2" w:rsidP="00EF6BE2">
      <w:pPr>
        <w:numPr>
          <w:ilvl w:val="0"/>
          <w:numId w:val="1"/>
        </w:numPr>
        <w:spacing w:before="75" w:after="100" w:afterAutospacing="1" w:line="277" w:lineRule="atLeast"/>
        <w:ind w:left="345"/>
        <w:rPr>
          <w:rFonts w:ascii="Times New Roman" w:eastAsia="Times New Roman" w:hAnsi="Times New Roman" w:cs="Times New Roman"/>
          <w:highlight w:val="darkGray"/>
        </w:rPr>
      </w:pPr>
      <w:r w:rsidRPr="008F79E0">
        <w:rPr>
          <w:rFonts w:ascii="Times New Roman" w:eastAsia="Times New Roman" w:hAnsi="Times New Roman" w:cs="Times New Roman"/>
          <w:b/>
          <w:bCs/>
          <w:color w:val="0046AD"/>
          <w:highlight w:val="darkGray"/>
        </w:rPr>
        <w:t>Not yet assigned</w:t>
      </w:r>
      <w:r w:rsidRPr="008F79E0">
        <w:rPr>
          <w:rFonts w:ascii="Times New Roman" w:eastAsia="Times New Roman" w:hAnsi="Times New Roman" w:cs="Times New Roman"/>
          <w:highlight w:val="darkGray"/>
        </w:rPr>
        <w:t>: substances currently registered under REACH but not yet assigned to any of the other pools.</w:t>
      </w:r>
    </w:p>
    <w:p w14:paraId="74637BC7" w14:textId="77777777" w:rsidR="00EF6BE2" w:rsidRPr="00EF6BE2" w:rsidRDefault="00EF6BE2" w:rsidP="00EF6BE2">
      <w:pPr>
        <w:spacing w:after="225" w:line="277" w:lineRule="atLeast"/>
        <w:rPr>
          <w:rFonts w:ascii="Times New Roman" w:eastAsia="Times New Roman" w:hAnsi="Times New Roman" w:cs="Times New Roman"/>
        </w:rPr>
      </w:pPr>
      <w:r w:rsidRPr="00EF6BE2">
        <w:rPr>
          <w:rFonts w:ascii="Times New Roman" w:eastAsia="Times New Roman" w:hAnsi="Times New Roman" w:cs="Times New Roman"/>
          <w:i/>
          <w:iCs/>
        </w:rPr>
        <w:t xml:space="preserve">Jack de </w:t>
      </w:r>
      <w:proofErr w:type="spellStart"/>
      <w:r w:rsidRPr="00EF6BE2">
        <w:rPr>
          <w:rFonts w:ascii="Times New Roman" w:eastAsia="Times New Roman" w:hAnsi="Times New Roman" w:cs="Times New Roman"/>
          <w:i/>
          <w:iCs/>
        </w:rPr>
        <w:t>Bruijn</w:t>
      </w:r>
      <w:proofErr w:type="spellEnd"/>
      <w:r w:rsidRPr="00EF6BE2">
        <w:rPr>
          <w:rFonts w:ascii="Times New Roman" w:eastAsia="Times New Roman" w:hAnsi="Times New Roman" w:cs="Times New Roman"/>
        </w:rPr>
        <w:t xml:space="preserve">, Director for </w:t>
      </w:r>
      <w:proofErr w:type="spellStart"/>
      <w:r w:rsidRPr="00EF6BE2">
        <w:rPr>
          <w:rFonts w:ascii="Times New Roman" w:eastAsia="Times New Roman" w:hAnsi="Times New Roman" w:cs="Times New Roman"/>
        </w:rPr>
        <w:t>Prioritisation</w:t>
      </w:r>
      <w:proofErr w:type="spellEnd"/>
      <w:r w:rsidRPr="00EF6BE2">
        <w:rPr>
          <w:rFonts w:ascii="Times New Roman" w:eastAsia="Times New Roman" w:hAnsi="Times New Roman" w:cs="Times New Roman"/>
        </w:rPr>
        <w:t xml:space="preserve"> and Integration says: </w:t>
      </w:r>
      <w:r w:rsidRPr="008F79E0">
        <w:rPr>
          <w:rFonts w:ascii="Times New Roman" w:eastAsia="Times New Roman" w:hAnsi="Times New Roman" w:cs="Times New Roman"/>
          <w:highlight w:val="lightGray"/>
        </w:rPr>
        <w:t xml:space="preserve">“We are currently focusing mostly on the substances registered for volumes greater than 100 </w:t>
      </w:r>
      <w:proofErr w:type="spellStart"/>
      <w:r w:rsidRPr="008F79E0">
        <w:rPr>
          <w:rFonts w:ascii="Times New Roman" w:eastAsia="Times New Roman" w:hAnsi="Times New Roman" w:cs="Times New Roman"/>
          <w:highlight w:val="lightGray"/>
        </w:rPr>
        <w:t>tonnes</w:t>
      </w:r>
      <w:proofErr w:type="spellEnd"/>
      <w:r w:rsidRPr="008F79E0">
        <w:rPr>
          <w:rFonts w:ascii="Times New Roman" w:eastAsia="Times New Roman" w:hAnsi="Times New Roman" w:cs="Times New Roman"/>
          <w:highlight w:val="lightGray"/>
        </w:rPr>
        <w:t xml:space="preserve"> per year, where we aim to assign each substance to one of the pools by the end of 2020. For all registered substances, the work should be concluded by 2027. For many substances, further hazard data will need to be generated as non-compliant registrations are hampering progress. To that end, we have a joint action plan with the Commission to improve compliance of registrations to ensure they contain the necessary information to establish safe use.”</w:t>
      </w:r>
    </w:p>
    <w:p w14:paraId="27907BCD" w14:textId="77777777" w:rsidR="00EF6BE2" w:rsidRPr="00EF6BE2" w:rsidRDefault="00EF6BE2" w:rsidP="00EF6BE2">
      <w:pPr>
        <w:spacing w:after="225" w:line="277" w:lineRule="atLeast"/>
        <w:rPr>
          <w:rFonts w:ascii="Times New Roman" w:eastAsia="Times New Roman" w:hAnsi="Times New Roman" w:cs="Times New Roman"/>
        </w:rPr>
      </w:pPr>
      <w:bookmarkStart w:id="0" w:name="_GoBack"/>
      <w:bookmarkEnd w:id="0"/>
      <w:r w:rsidRPr="008F79E0">
        <w:rPr>
          <w:rFonts w:ascii="Times New Roman" w:eastAsia="Times New Roman" w:hAnsi="Times New Roman" w:cs="Times New Roman"/>
          <w:highlight w:val="darkGray"/>
        </w:rPr>
        <w:t>The chemical universe does not indicate whether a substance’s use is safe or not – it is mainly to help authorities focus their actions. The assignment to a pool is also not permanent – substances will move from one pool to another over time when new information becomes available or priorities change.</w:t>
      </w:r>
      <w:r w:rsidRPr="00EF6BE2">
        <w:rPr>
          <w:rFonts w:ascii="Times New Roman" w:eastAsia="Times New Roman" w:hAnsi="Times New Roman" w:cs="Times New Roman"/>
        </w:rPr>
        <w:t xml:space="preserve"> </w:t>
      </w:r>
      <w:r w:rsidRPr="008F79E0">
        <w:rPr>
          <w:rFonts w:ascii="Times New Roman" w:eastAsia="Times New Roman" w:hAnsi="Times New Roman" w:cs="Times New Roman"/>
          <w:highlight w:val="darkGray"/>
        </w:rPr>
        <w:t xml:space="preserve">Furthermore, the assignment is largely calculated by algorithms and is based on a snapshot of the data from August 2019. It is, therefore, not flawless and we encourage people to check the substances’ </w:t>
      </w:r>
      <w:proofErr w:type="spellStart"/>
      <w:r w:rsidRPr="008F79E0">
        <w:rPr>
          <w:rFonts w:ascii="Times New Roman" w:eastAsia="Times New Roman" w:hAnsi="Times New Roman" w:cs="Times New Roman"/>
          <w:highlight w:val="darkGray"/>
        </w:rPr>
        <w:t>infocards</w:t>
      </w:r>
      <w:proofErr w:type="spellEnd"/>
      <w:r w:rsidRPr="008F79E0">
        <w:rPr>
          <w:rFonts w:ascii="Times New Roman" w:eastAsia="Times New Roman" w:hAnsi="Times New Roman" w:cs="Times New Roman"/>
          <w:highlight w:val="darkGray"/>
        </w:rPr>
        <w:t xml:space="preserve"> for the latest information. The links to the </w:t>
      </w:r>
      <w:proofErr w:type="spellStart"/>
      <w:r w:rsidRPr="008F79E0">
        <w:rPr>
          <w:rFonts w:ascii="Times New Roman" w:eastAsia="Times New Roman" w:hAnsi="Times New Roman" w:cs="Times New Roman"/>
          <w:highlight w:val="darkGray"/>
        </w:rPr>
        <w:t>infocards</w:t>
      </w:r>
      <w:proofErr w:type="spellEnd"/>
      <w:r w:rsidRPr="008F79E0">
        <w:rPr>
          <w:rFonts w:ascii="Times New Roman" w:eastAsia="Times New Roman" w:hAnsi="Times New Roman" w:cs="Times New Roman"/>
          <w:highlight w:val="darkGray"/>
        </w:rPr>
        <w:t xml:space="preserve"> are available in the list of substances.</w:t>
      </w:r>
    </w:p>
    <w:p w14:paraId="6CEA40B6" w14:textId="77777777" w:rsidR="00EF6BE2" w:rsidRPr="00EF6BE2" w:rsidRDefault="00EF6BE2" w:rsidP="00EF6BE2">
      <w:pPr>
        <w:spacing w:after="225" w:line="277" w:lineRule="atLeast"/>
        <w:rPr>
          <w:rFonts w:ascii="Times New Roman" w:eastAsia="Times New Roman" w:hAnsi="Times New Roman" w:cs="Times New Roman"/>
        </w:rPr>
      </w:pPr>
      <w:r w:rsidRPr="00EF6BE2">
        <w:rPr>
          <w:rFonts w:ascii="Times New Roman" w:eastAsia="Times New Roman" w:hAnsi="Times New Roman" w:cs="Times New Roman"/>
        </w:rPr>
        <w:lastRenderedPageBreak/>
        <w:t>The initial numerical mapping of REACH registered substances on the EU/EEA market was published in April 2019 with the publication of ECHA’s first report on the implementation of its integrated regulatory strategy. An update of the substance list is foreseen in early 2021.</w:t>
      </w:r>
    </w:p>
    <w:p w14:paraId="71C16CC4" w14:textId="77777777" w:rsidR="00EF6BE2" w:rsidRPr="00EF6BE2" w:rsidRDefault="00EF6BE2" w:rsidP="00EF6BE2">
      <w:pPr>
        <w:rPr>
          <w:rFonts w:ascii="Times New Roman" w:eastAsia="Times New Roman" w:hAnsi="Times New Roman" w:cs="Times New Roman"/>
        </w:rPr>
      </w:pPr>
    </w:p>
    <w:p w14:paraId="00FAD9B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2E8"/>
    <w:multiLevelType w:val="multilevel"/>
    <w:tmpl w:val="6CC2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BE"/>
    <w:rsid w:val="00453EED"/>
    <w:rsid w:val="008F79E0"/>
    <w:rsid w:val="00BE080D"/>
    <w:rsid w:val="00CF1FBE"/>
    <w:rsid w:val="00E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174A1"/>
  <w14:defaultImageDpi w14:val="32767"/>
  <w15:chartTrackingRefBased/>
  <w15:docId w15:val="{25108FFB-482A-7045-9C5D-C9FC01D2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F6BE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6B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6BE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F6BE2"/>
    <w:rPr>
      <w:b/>
      <w:bCs/>
    </w:rPr>
  </w:style>
  <w:style w:type="character" w:customStyle="1" w:styleId="apple-converted-space">
    <w:name w:val="apple-converted-space"/>
    <w:basedOn w:val="DefaultParagraphFont"/>
    <w:rsid w:val="00EF6BE2"/>
  </w:style>
  <w:style w:type="character" w:styleId="Emphasis">
    <w:name w:val="Emphasis"/>
    <w:basedOn w:val="DefaultParagraphFont"/>
    <w:uiPriority w:val="20"/>
    <w:qFormat/>
    <w:rsid w:val="00EF6B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2020-02-17T10:31:00Z</dcterms:created>
  <dcterms:modified xsi:type="dcterms:W3CDTF">2020-04-13T16:10:00Z</dcterms:modified>
</cp:coreProperties>
</file>