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B225" w14:textId="77777777" w:rsidR="00E2125E" w:rsidRPr="00E2125E" w:rsidRDefault="00E2125E" w:rsidP="00E2125E">
      <w:pPr>
        <w:spacing w:after="150"/>
        <w:textAlignment w:val="baseline"/>
        <w:outlineLvl w:val="0"/>
        <w:rPr>
          <w:rFonts w:ascii="Arial" w:eastAsia="Times New Roman" w:hAnsi="Arial" w:cs="Arial"/>
          <w:color w:val="413B37"/>
          <w:kern w:val="36"/>
          <w:sz w:val="58"/>
          <w:szCs w:val="58"/>
        </w:rPr>
      </w:pPr>
      <w:proofErr w:type="spellStart"/>
      <w:r w:rsidRPr="00E2125E">
        <w:rPr>
          <w:rFonts w:ascii="Arial" w:eastAsia="Times New Roman" w:hAnsi="Arial" w:cs="Arial"/>
          <w:color w:val="413B37"/>
          <w:kern w:val="36"/>
          <w:sz w:val="58"/>
          <w:szCs w:val="58"/>
        </w:rPr>
        <w:t>Defence</w:t>
      </w:r>
      <w:proofErr w:type="spellEnd"/>
      <w:r w:rsidRPr="00E2125E">
        <w:rPr>
          <w:rFonts w:ascii="Arial" w:eastAsia="Times New Roman" w:hAnsi="Arial" w:cs="Arial"/>
          <w:color w:val="413B37"/>
          <w:kern w:val="36"/>
          <w:sz w:val="58"/>
          <w:szCs w:val="58"/>
        </w:rPr>
        <w:t xml:space="preserve"> expenditure up but spending in key areas falling short, finds EDA report </w:t>
      </w:r>
    </w:p>
    <w:p w14:paraId="723DDAD4" w14:textId="77777777" w:rsidR="00E2125E" w:rsidRPr="00E2125E" w:rsidRDefault="00E2125E" w:rsidP="00E2125E">
      <w:pPr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2125E">
        <w:rPr>
          <w:rFonts w:ascii="Arial" w:eastAsia="Times New Roman" w:hAnsi="Arial" w:cs="Arial"/>
          <w:color w:val="413B37"/>
          <w:sz w:val="20"/>
          <w:szCs w:val="20"/>
        </w:rPr>
        <w:t xml:space="preserve">Brussels - 16 </w:t>
      </w:r>
      <w:proofErr w:type="gramStart"/>
      <w:r w:rsidRPr="00E2125E">
        <w:rPr>
          <w:rFonts w:ascii="Arial" w:eastAsia="Times New Roman" w:hAnsi="Arial" w:cs="Arial"/>
          <w:color w:val="413B37"/>
          <w:sz w:val="20"/>
          <w:szCs w:val="20"/>
        </w:rPr>
        <w:t>December,</w:t>
      </w:r>
      <w:proofErr w:type="gramEnd"/>
      <w:r w:rsidRPr="00E2125E">
        <w:rPr>
          <w:rFonts w:ascii="Arial" w:eastAsia="Times New Roman" w:hAnsi="Arial" w:cs="Arial"/>
          <w:color w:val="413B37"/>
          <w:sz w:val="20"/>
          <w:szCs w:val="20"/>
        </w:rPr>
        <w:t xml:space="preserve"> 2019</w:t>
      </w:r>
    </w:p>
    <w:p w14:paraId="4A00E95B" w14:textId="68DABE15" w:rsidR="00E2125E" w:rsidRPr="00E2125E" w:rsidRDefault="00E2125E" w:rsidP="00E2125E">
      <w:pPr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2125E">
        <w:rPr>
          <w:rFonts w:ascii="Arial" w:eastAsia="Times New Roman" w:hAnsi="Arial" w:cs="Arial"/>
          <w:color w:val="413B37"/>
          <w:sz w:val="20"/>
          <w:szCs w:val="20"/>
        </w:rPr>
        <w:fldChar w:fldCharType="begin"/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instrText xml:space="preserve"> INCLUDEPICTURE "/var/folders/nj/m875g2tj2j50hjqpdb11s_540000gn/T/com.microsoft.Word/WebArchiveCopyPasteTempFiles/defence-data-2017-2018_v2" \* MERGEFORMATINET </w:instrTex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fldChar w:fldCharType="separate"/>
      </w:r>
      <w:r w:rsidRPr="00E2125E">
        <w:rPr>
          <w:rFonts w:ascii="Arial" w:eastAsia="Times New Roman" w:hAnsi="Arial" w:cs="Arial"/>
          <w:noProof/>
          <w:color w:val="413B37"/>
          <w:sz w:val="20"/>
          <w:szCs w:val="20"/>
        </w:rPr>
        <w:drawing>
          <wp:inline distT="0" distB="0" distL="0" distR="0" wp14:anchorId="03DB20F3" wp14:editId="7BEA5C10">
            <wp:extent cx="5943600" cy="1982470"/>
            <wp:effectExtent l="0" t="0" r="0" b="0"/>
            <wp:docPr id="1" name="Picture 1" descr="/var/folders/nj/m875g2tj2j50hjqpdb11s_540000gn/T/com.microsoft.Word/WebArchiveCopyPasteTempFiles/defence-data-2017-2018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_C007_newsFrontendDetails_ctl00_ctl00_DetailsView_ctrl0_edaImage" descr="/var/folders/nj/m875g2tj2j50hjqpdb11s_540000gn/T/com.microsoft.Word/WebArchiveCopyPasteTempFiles/defence-data-2017-2018_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fldChar w:fldCharType="end"/>
      </w:r>
    </w:p>
    <w:p w14:paraId="20052918" w14:textId="77777777" w:rsidR="00E2125E" w:rsidRPr="00E2125E" w:rsidRDefault="00E2125E" w:rsidP="00E2125E">
      <w:pPr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bookmarkStart w:id="0" w:name="_GoBack"/>
      <w:bookmarkEnd w:id="0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The European </w:t>
      </w:r>
      <w:proofErr w:type="spellStart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>Defence</w:t>
      </w:r>
      <w:proofErr w:type="spellEnd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 Agency has today published its </w:t>
      </w:r>
      <w:hyperlink r:id="rId6" w:history="1">
        <w:r w:rsidRPr="009668B0">
          <w:rPr>
            <w:rFonts w:ascii="Arial" w:eastAsia="Times New Roman" w:hAnsi="Arial" w:cs="Arial"/>
            <w:b/>
            <w:bCs/>
            <w:color w:val="0071B5"/>
            <w:sz w:val="21"/>
            <w:szCs w:val="21"/>
            <w:highlight w:val="darkGray"/>
            <w:bdr w:val="none" w:sz="0" w:space="0" w:color="auto" w:frame="1"/>
          </w:rPr>
          <w:t xml:space="preserve">annual </w:t>
        </w:r>
        <w:proofErr w:type="spellStart"/>
        <w:r w:rsidRPr="009668B0">
          <w:rPr>
            <w:rFonts w:ascii="Arial" w:eastAsia="Times New Roman" w:hAnsi="Arial" w:cs="Arial"/>
            <w:b/>
            <w:bCs/>
            <w:color w:val="0071B5"/>
            <w:sz w:val="21"/>
            <w:szCs w:val="21"/>
            <w:highlight w:val="darkGray"/>
            <w:bdr w:val="none" w:sz="0" w:space="0" w:color="auto" w:frame="1"/>
          </w:rPr>
          <w:t>Defence</w:t>
        </w:r>
        <w:proofErr w:type="spellEnd"/>
        <w:r w:rsidRPr="009668B0">
          <w:rPr>
            <w:rFonts w:ascii="Arial" w:eastAsia="Times New Roman" w:hAnsi="Arial" w:cs="Arial"/>
            <w:b/>
            <w:bCs/>
            <w:color w:val="0071B5"/>
            <w:sz w:val="21"/>
            <w:szCs w:val="21"/>
            <w:highlight w:val="darkGray"/>
            <w:bdr w:val="none" w:sz="0" w:space="0" w:color="auto" w:frame="1"/>
          </w:rPr>
          <w:t xml:space="preserve"> Data report for the year 2018</w:t>
        </w:r>
      </w:hyperlink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, detailing spending by the 27 EDA Member States. Total </w:t>
      </w:r>
      <w:proofErr w:type="spellStart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>defence</w:t>
      </w:r>
      <w:proofErr w:type="spellEnd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 expenditure stands at €223 billion, representing a 3% increase on </w:t>
      </w:r>
      <w:proofErr w:type="gramStart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>2017  and</w:t>
      </w:r>
      <w:proofErr w:type="gramEnd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 marks the fifth consecutive year of increased </w:t>
      </w:r>
      <w:proofErr w:type="spellStart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>defence</w:t>
      </w:r>
      <w:proofErr w:type="spellEnd"/>
      <w:r w:rsidRPr="009668B0">
        <w:rPr>
          <w:rFonts w:ascii="Arial" w:eastAsia="Times New Roman" w:hAnsi="Arial" w:cs="Arial"/>
          <w:b/>
          <w:bCs/>
          <w:color w:val="413B37"/>
          <w:sz w:val="21"/>
          <w:szCs w:val="21"/>
          <w:highlight w:val="darkGray"/>
          <w:bdr w:val="none" w:sz="0" w:space="0" w:color="auto" w:frame="1"/>
        </w:rPr>
        <w:t xml:space="preserve"> spending. EDA’s report also finds that Member States are not meeting spending commitments in key areas.</w:t>
      </w:r>
      <w:r w:rsidRPr="00E2125E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   </w:t>
      </w:r>
      <w:r w:rsidRPr="00E2125E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br/>
        <w:t> </w:t>
      </w:r>
    </w:p>
    <w:p w14:paraId="010639D1" w14:textId="77777777" w:rsidR="00E2125E" w:rsidRPr="00E148C9" w:rsidRDefault="00E2125E" w:rsidP="00E2125E">
      <w:pPr>
        <w:spacing w:after="150"/>
        <w:jc w:val="both"/>
        <w:textAlignment w:val="baseline"/>
        <w:outlineLvl w:val="4"/>
        <w:rPr>
          <w:rFonts w:ascii="Arial" w:eastAsia="Times New Roman" w:hAnsi="Arial" w:cs="Arial"/>
          <w:color w:val="413B37"/>
          <w:highlight w:val="darkGray"/>
        </w:rPr>
      </w:pPr>
      <w:r w:rsidRPr="00E148C9">
        <w:rPr>
          <w:rFonts w:ascii="Arial" w:eastAsia="Times New Roman" w:hAnsi="Arial" w:cs="Arial"/>
          <w:color w:val="413B37"/>
          <w:highlight w:val="darkGray"/>
        </w:rPr>
        <w:t xml:space="preserve">Total </w:t>
      </w:r>
      <w:proofErr w:type="spellStart"/>
      <w:r w:rsidRPr="00E148C9">
        <w:rPr>
          <w:rFonts w:ascii="Arial" w:eastAsia="Times New Roman" w:hAnsi="Arial" w:cs="Arial"/>
          <w:color w:val="413B37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highlight w:val="darkGray"/>
        </w:rPr>
        <w:t xml:space="preserve"> expenditure returns to pre-financial crisis levels  </w:t>
      </w:r>
    </w:p>
    <w:p w14:paraId="66E4ADF6" w14:textId="77777777" w:rsidR="00E2125E" w:rsidRPr="00E2125E" w:rsidRDefault="00E2125E" w:rsidP="00E2125E">
      <w:pPr>
        <w:spacing w:after="150"/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The year’s report finds that overall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spending by the 27 EDA Member States has almost returned to pre-financial crisis levels, €225 billion in 2007 compared to €223.4 billion in 2018. This level of spending represents 1.4% of GDP and 3.1% of total government expenditure. Although overall spending fell by 11% between 2007 and 2013, since 2014 Member States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expenditure is increasing in line with economic growth.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t>  </w:t>
      </w:r>
    </w:p>
    <w:p w14:paraId="6DF2A88E" w14:textId="77777777" w:rsidR="00E2125E" w:rsidRPr="00E2125E" w:rsidRDefault="00E2125E" w:rsidP="00E2125E">
      <w:pPr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“It is extremely positive that </w:t>
      </w:r>
      <w:proofErr w:type="spellStart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budgets have almost fully returned to pre-financial crisis levels, with 2018 marking the fifth consecutive year of increased spending. Our report is evidence that Member States have put a renewed impetus into </w:t>
      </w:r>
      <w:proofErr w:type="spellStart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spending after suffering heavily in the years following the financial crisis. Nevertheless, EDA’s findings do paint a mixed picture in terms of European collaborative </w:t>
      </w:r>
      <w:proofErr w:type="spellStart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, with a worrying fall in both equipment procurement and R&amp;T spending in a European context. While European collaborative </w:t>
      </w:r>
      <w:proofErr w:type="spellStart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E148C9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R&amp;T still remains significantly below 2008 levels, it is encouraging that the value and number of ad-hoc R&amp;T projects under EDA is increasing”,</w:t>
      </w:r>
      <w:r w:rsidRPr="00E148C9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 Jorge Domecq, EDA’s Chief Executive, commented.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t> 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br/>
        <w:t> </w:t>
      </w:r>
    </w:p>
    <w:p w14:paraId="1139545D" w14:textId="77777777" w:rsidR="00E2125E" w:rsidRPr="00E2125E" w:rsidRDefault="00E2125E" w:rsidP="00E2125E">
      <w:pPr>
        <w:spacing w:after="150"/>
        <w:jc w:val="both"/>
        <w:textAlignment w:val="baseline"/>
        <w:outlineLvl w:val="4"/>
        <w:rPr>
          <w:rFonts w:ascii="Arial" w:eastAsia="Times New Roman" w:hAnsi="Arial" w:cs="Arial"/>
          <w:color w:val="413B37"/>
        </w:rPr>
      </w:pPr>
      <w:r w:rsidRPr="00E2125E">
        <w:rPr>
          <w:rFonts w:ascii="Arial" w:eastAsia="Times New Roman" w:hAnsi="Arial" w:cs="Arial"/>
          <w:color w:val="413B37"/>
        </w:rPr>
        <w:t>Shortfalls on collective spending commitments  </w:t>
      </w:r>
    </w:p>
    <w:p w14:paraId="5F66222A" w14:textId="77777777" w:rsidR="00E2125E" w:rsidRPr="00E148C9" w:rsidRDefault="00E2125E" w:rsidP="00E2125E">
      <w:pPr>
        <w:spacing w:after="150"/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Despite the rise in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expenditure, spending on fulfilling collective benchmarks has failed to keep pace. Spending on areas where collective benchmarks have been agreed namely: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Investment;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Research and Technology; European Collaborative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Equipment Procurement; and European Collaborative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R&amp;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T all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still remain below 2008 levels. EDA’s report provides detailed analysis of how current spending relates to these four collective benchmarks agreed at the EDA Steering Board in 2007, as follows:</w:t>
      </w:r>
    </w:p>
    <w:p w14:paraId="6C398FCE" w14:textId="77777777" w:rsidR="00E2125E" w:rsidRPr="00E148C9" w:rsidRDefault="00E2125E" w:rsidP="00E2125E">
      <w:pPr>
        <w:numPr>
          <w:ilvl w:val="0"/>
          <w:numId w:val="1"/>
        </w:numPr>
        <w:spacing w:after="75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lastRenderedPageBreak/>
        <w:t xml:space="preserve">€44.5 billion on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Investment (procurement of new equipment and R&amp;D), representing 19.9% of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Expenditure against a collective benchmark of 20%;  </w:t>
      </w:r>
    </w:p>
    <w:p w14:paraId="774EB6E9" w14:textId="77777777" w:rsidR="00E2125E" w:rsidRPr="00E148C9" w:rsidRDefault="00E2125E" w:rsidP="00E2125E">
      <w:pPr>
        <w:numPr>
          <w:ilvl w:val="0"/>
          <w:numId w:val="1"/>
        </w:numPr>
        <w:spacing w:after="75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€6.4 billion on European Collaborative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Equipment Procurement, </w:t>
      </w:r>
      <w:proofErr w:type="gram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representing  17.8</w:t>
      </w:r>
      <w:proofErr w:type="gram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% of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Equipment Procurement against a collective benchmark of 35%;  </w:t>
      </w:r>
    </w:p>
    <w:p w14:paraId="21CC0A33" w14:textId="77777777" w:rsidR="00E2125E" w:rsidRPr="00E148C9" w:rsidRDefault="00E2125E" w:rsidP="00E2125E">
      <w:pPr>
        <w:numPr>
          <w:ilvl w:val="0"/>
          <w:numId w:val="1"/>
        </w:numPr>
        <w:spacing w:after="75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€2.1 billion on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Research and Technology,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totalling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0.9% of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Expenditure against a collective benchmark of 2%; and,  </w:t>
      </w:r>
    </w:p>
    <w:p w14:paraId="2BAFFC41" w14:textId="77777777" w:rsidR="00E2125E" w:rsidRPr="00E2125E" w:rsidRDefault="00E2125E" w:rsidP="00E2125E">
      <w:pPr>
        <w:numPr>
          <w:ilvl w:val="0"/>
          <w:numId w:val="1"/>
        </w:numPr>
        <w:spacing w:after="75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€153 million on European Collaborative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R&amp;T,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totalling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7.3% of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R&amp;T against a collective benchmark of 20%.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t>    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br/>
        <w:t> </w:t>
      </w:r>
    </w:p>
    <w:p w14:paraId="196D0628" w14:textId="77777777" w:rsidR="00E2125E" w:rsidRPr="00E148C9" w:rsidRDefault="00E2125E" w:rsidP="00E2125E">
      <w:pPr>
        <w:spacing w:after="150"/>
        <w:jc w:val="both"/>
        <w:textAlignment w:val="baseline"/>
        <w:outlineLvl w:val="4"/>
        <w:rPr>
          <w:rFonts w:ascii="Arial" w:eastAsia="Times New Roman" w:hAnsi="Arial" w:cs="Arial"/>
          <w:color w:val="413B37"/>
          <w:highlight w:val="darkGray"/>
        </w:rPr>
      </w:pPr>
      <w:r w:rsidRPr="00E148C9">
        <w:rPr>
          <w:rFonts w:ascii="Arial" w:eastAsia="Times New Roman" w:hAnsi="Arial" w:cs="Arial"/>
          <w:color w:val="413B37"/>
          <w:highlight w:val="darkGray"/>
        </w:rPr>
        <w:t>Key findings  </w:t>
      </w:r>
    </w:p>
    <w:p w14:paraId="0691FD62" w14:textId="77777777" w:rsidR="00E2125E" w:rsidRPr="00E148C9" w:rsidRDefault="00E2125E" w:rsidP="00E2125E">
      <w:pPr>
        <w:spacing w:after="150"/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However, among the 27 EDA Member States some disparities in achieving these benchmarks can be observed:  </w:t>
      </w:r>
    </w:p>
    <w:p w14:paraId="29B24BB4" w14:textId="77777777" w:rsidR="00E2125E" w:rsidRPr="00E148C9" w:rsidRDefault="00E2125E" w:rsidP="00E2125E">
      <w:pPr>
        <w:numPr>
          <w:ilvl w:val="0"/>
          <w:numId w:val="2"/>
        </w:numPr>
        <w:spacing w:after="150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14 Member States spent 20% or more of their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budget on investment in 2018, up from 7 states in 2014;     </w:t>
      </w:r>
    </w:p>
    <w:p w14:paraId="380F0D96" w14:textId="77777777" w:rsidR="00E2125E" w:rsidRPr="00E148C9" w:rsidRDefault="00E2125E" w:rsidP="00E2125E">
      <w:pPr>
        <w:numPr>
          <w:ilvl w:val="0"/>
          <w:numId w:val="2"/>
        </w:numPr>
        <w:spacing w:after="150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21 Member States now dedicate more than 10% of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budget on investments;  </w:t>
      </w:r>
    </w:p>
    <w:p w14:paraId="3488FB20" w14:textId="77777777" w:rsidR="00E2125E" w:rsidRPr="00E148C9" w:rsidRDefault="00E2125E" w:rsidP="00E2125E">
      <w:pPr>
        <w:numPr>
          <w:ilvl w:val="0"/>
          <w:numId w:val="2"/>
        </w:numPr>
        <w:spacing w:after="150"/>
        <w:ind w:left="225"/>
        <w:textAlignment w:val="baseline"/>
        <w:rPr>
          <w:rFonts w:ascii="Arial" w:eastAsia="Times New Roman" w:hAnsi="Arial" w:cs="Arial"/>
          <w:color w:val="413B37"/>
          <w:sz w:val="20"/>
          <w:szCs w:val="20"/>
          <w:highlight w:val="darkGray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8 Member States combined account for 96% of total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research and technology spending, with the largest four accounting for 85%.   </w:t>
      </w: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br/>
        <w:t> </w:t>
      </w:r>
    </w:p>
    <w:p w14:paraId="0616C6FB" w14:textId="77777777" w:rsidR="00E2125E" w:rsidRPr="00E2125E" w:rsidRDefault="00E2125E" w:rsidP="00E2125E">
      <w:pPr>
        <w:spacing w:after="150"/>
        <w:jc w:val="both"/>
        <w:textAlignment w:val="baseline"/>
        <w:outlineLvl w:val="4"/>
        <w:rPr>
          <w:rFonts w:ascii="Arial" w:eastAsia="Times New Roman" w:hAnsi="Arial" w:cs="Arial"/>
          <w:color w:val="413B37"/>
        </w:rPr>
      </w:pPr>
      <w:r w:rsidRPr="00E2125E">
        <w:rPr>
          <w:rFonts w:ascii="Arial" w:eastAsia="Times New Roman" w:hAnsi="Arial" w:cs="Arial"/>
          <w:color w:val="413B37"/>
        </w:rPr>
        <w:t>Background </w:t>
      </w:r>
    </w:p>
    <w:p w14:paraId="32DC422F" w14:textId="77777777" w:rsidR="00E2125E" w:rsidRPr="00E2125E" w:rsidRDefault="00E2125E" w:rsidP="00E2125E">
      <w:pPr>
        <w:spacing w:after="150"/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yellow"/>
        </w:rPr>
        <w:t xml:space="preserve">EDA collects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yellow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yellow"/>
        </w:rPr>
        <w:t xml:space="preserve"> data on an annual basis, and has done so since 2006, in line with the Agency’s ministerial Steering Board decision of November 2005. The Ministries of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yellow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yellow"/>
        </w:rPr>
        <w:t xml:space="preserve"> of the Agency’s 27 Member States (all EU Member States except Denmark) provide the data. EDA acts as the custodian of the data and publishes the aggregated figures in its booklets.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t> </w:t>
      </w:r>
    </w:p>
    <w:p w14:paraId="46E3C4FD" w14:textId="77777777" w:rsidR="00E2125E" w:rsidRPr="00E2125E" w:rsidRDefault="00E2125E" w:rsidP="00E2125E">
      <w:pPr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All data is collated (“Total incorporates 27 EDA Member States”), and it has been rounded. </w:t>
      </w:r>
      <w:proofErr w:type="spellStart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>Defence</w:t>
      </w:r>
      <w:proofErr w:type="spellEnd"/>
      <w:r w:rsidRPr="00E148C9">
        <w:rPr>
          <w:rFonts w:ascii="Arial" w:eastAsia="Times New Roman" w:hAnsi="Arial" w:cs="Arial"/>
          <w:color w:val="413B37"/>
          <w:sz w:val="20"/>
          <w:szCs w:val="20"/>
          <w:highlight w:val="darkGray"/>
        </w:rPr>
        <w:t xml:space="preserve"> expenditure figures are provided in constant 2018 prices in order to take inflation into account and allow for a comparison across years.</w:t>
      </w:r>
      <w:r w:rsidRPr="00E2125E">
        <w:rPr>
          <w:rFonts w:ascii="Arial" w:eastAsia="Times New Roman" w:hAnsi="Arial" w:cs="Arial"/>
          <w:color w:val="413B37"/>
          <w:sz w:val="20"/>
          <w:szCs w:val="20"/>
        </w:rPr>
        <w:t>  </w:t>
      </w:r>
    </w:p>
    <w:p w14:paraId="2AEC64E9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7875"/>
    <w:multiLevelType w:val="multilevel"/>
    <w:tmpl w:val="C1A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A2402"/>
    <w:multiLevelType w:val="multilevel"/>
    <w:tmpl w:val="189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39"/>
    <w:rsid w:val="00453EED"/>
    <w:rsid w:val="009668B0"/>
    <w:rsid w:val="00BE080D"/>
    <w:rsid w:val="00E148C9"/>
    <w:rsid w:val="00E2125E"/>
    <w:rsid w:val="00E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8EA0"/>
  <w14:defaultImageDpi w14:val="32767"/>
  <w15:chartTrackingRefBased/>
  <w15:docId w15:val="{A29A4429-64D0-9440-8E69-DD954CF0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2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E2125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E2125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2125E"/>
  </w:style>
  <w:style w:type="paragraph" w:styleId="NormalWeb">
    <w:name w:val="Normal (Web)"/>
    <w:basedOn w:val="Normal"/>
    <w:uiPriority w:val="99"/>
    <w:semiHidden/>
    <w:unhideWhenUsed/>
    <w:rsid w:val="00E21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12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12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12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9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8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bit.ly/38HtX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2020-02-23T14:16:00Z</dcterms:created>
  <dcterms:modified xsi:type="dcterms:W3CDTF">2020-04-18T13:31:00Z</dcterms:modified>
</cp:coreProperties>
</file>