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5C31" w14:textId="77777777" w:rsidR="001768F0" w:rsidRDefault="001768F0" w:rsidP="001768F0">
      <w:r w:rsidRPr="00DF17C9">
        <w:rPr>
          <w:highlight w:val="darkGray"/>
        </w:rPr>
        <w:t>Risk assessment: protecting women from lethal violence</w:t>
      </w:r>
    </w:p>
    <w:p w14:paraId="444E94F3" w14:textId="77777777" w:rsidR="001768F0" w:rsidRDefault="001768F0" w:rsidP="001768F0">
      <w:r>
        <w:t>Print</w:t>
      </w:r>
    </w:p>
    <w:p w14:paraId="15B4FD41" w14:textId="77777777" w:rsidR="001768F0" w:rsidRDefault="001768F0" w:rsidP="001768F0">
      <w:r>
        <w:t>Download as PDF</w:t>
      </w:r>
    </w:p>
    <w:p w14:paraId="5B646B52" w14:textId="77777777" w:rsidR="001768F0" w:rsidRDefault="001768F0" w:rsidP="001768F0">
      <w:r>
        <w:t>NEWS ARTICLE</w:t>
      </w:r>
    </w:p>
    <w:p w14:paraId="36761849" w14:textId="77777777" w:rsidR="001768F0" w:rsidRDefault="001768F0" w:rsidP="001768F0">
      <w:r>
        <w:t>TOPICS:</w:t>
      </w:r>
    </w:p>
    <w:p w14:paraId="6B8E66C8" w14:textId="77777777" w:rsidR="001768F0" w:rsidRDefault="001768F0" w:rsidP="001768F0">
      <w:r>
        <w:t>Violence</w:t>
      </w:r>
    </w:p>
    <w:p w14:paraId="510A04AF" w14:textId="77777777" w:rsidR="001768F0" w:rsidRDefault="001768F0" w:rsidP="001768F0">
      <w:r>
        <w:t>PUBLICATION DATE:</w:t>
      </w:r>
    </w:p>
    <w:p w14:paraId="08629B7F" w14:textId="77777777" w:rsidR="001768F0" w:rsidRDefault="001768F0" w:rsidP="001768F0">
      <w:r>
        <w:t>22 November 2019</w:t>
      </w:r>
    </w:p>
    <w:p w14:paraId="49F41C85" w14:textId="77777777" w:rsidR="001768F0" w:rsidRDefault="001768F0" w:rsidP="001768F0"/>
    <w:p w14:paraId="34F6FBCD" w14:textId="77777777" w:rsidR="001768F0" w:rsidRDefault="001768F0" w:rsidP="001768F0">
      <w:r>
        <w:t xml:space="preserve">Photo: Chiara </w:t>
      </w:r>
      <w:proofErr w:type="spellStart"/>
      <w:r>
        <w:t>Luxardo</w:t>
      </w:r>
      <w:proofErr w:type="spellEnd"/>
    </w:p>
    <w:p w14:paraId="0226A704" w14:textId="77777777" w:rsidR="001768F0" w:rsidRDefault="001768F0" w:rsidP="001768F0">
      <w:r w:rsidRPr="00DF17C9">
        <w:rPr>
          <w:highlight w:val="darkGray"/>
        </w:rPr>
        <w:t>More than one woman was killed every day by an intimate partner or family member in the EU on average in 2016[1].</w:t>
      </w:r>
      <w:r>
        <w:t xml:space="preserve"> </w:t>
      </w:r>
      <w:r w:rsidRPr="00DF17C9">
        <w:rPr>
          <w:highlight w:val="cyan"/>
        </w:rPr>
        <w:t>To help police prevent repeated acts of intimate partner violence and save lives,</w:t>
      </w:r>
      <w:r>
        <w:t xml:space="preserve"> </w:t>
      </w:r>
      <w:r w:rsidRPr="00DF17C9">
        <w:rPr>
          <w:highlight w:val="lightGray"/>
        </w:rPr>
        <w:t>the European Institute for Gender Equality (EIGE) has developed a risk assessment guide for police.</w:t>
      </w:r>
    </w:p>
    <w:p w14:paraId="1FE1F921" w14:textId="77777777" w:rsidR="001768F0" w:rsidRDefault="001768F0" w:rsidP="001768F0"/>
    <w:p w14:paraId="3B1F3511" w14:textId="77777777" w:rsidR="001768F0" w:rsidRDefault="001768F0" w:rsidP="001768F0">
      <w:r w:rsidRPr="00DF17C9">
        <w:rPr>
          <w:highlight w:val="lightGray"/>
        </w:rPr>
        <w:t xml:space="preserve">“With proper training, and allocation of resources where they are most needed, our guide can help police improve victim safety. In the long run, this can help to improve trust in police and encourage reporting,” says </w:t>
      </w:r>
      <w:proofErr w:type="spellStart"/>
      <w:r w:rsidRPr="00DF17C9">
        <w:rPr>
          <w:highlight w:val="lightGray"/>
        </w:rPr>
        <w:t>Virginija</w:t>
      </w:r>
      <w:proofErr w:type="spellEnd"/>
      <w:r w:rsidRPr="00DF17C9">
        <w:rPr>
          <w:highlight w:val="lightGray"/>
        </w:rPr>
        <w:t xml:space="preserve"> </w:t>
      </w:r>
      <w:proofErr w:type="spellStart"/>
      <w:r w:rsidRPr="00DF17C9">
        <w:rPr>
          <w:highlight w:val="lightGray"/>
        </w:rPr>
        <w:t>Langbakk</w:t>
      </w:r>
      <w:proofErr w:type="spellEnd"/>
      <w:r w:rsidRPr="00DF17C9">
        <w:rPr>
          <w:highlight w:val="lightGray"/>
        </w:rPr>
        <w:t>, EIGE’s director in the lead up to the international day to eliminate violence against women.</w:t>
      </w:r>
    </w:p>
    <w:p w14:paraId="3743A1FF" w14:textId="77777777" w:rsidR="001768F0" w:rsidRDefault="001768F0" w:rsidP="001768F0"/>
    <w:p w14:paraId="38AA7ECA" w14:textId="77777777" w:rsidR="001768F0" w:rsidRDefault="001768F0" w:rsidP="001768F0">
      <w:r>
        <w:t>One of the innovative aspects of the guide is the multi-agency approach to risk assessment, which is not a common practice around the EU. In most cases, the victims of violence are treated in isolation, with different authorities working in silos.</w:t>
      </w:r>
    </w:p>
    <w:p w14:paraId="7FCEEC56" w14:textId="77777777" w:rsidR="001768F0" w:rsidRDefault="001768F0" w:rsidP="001768F0"/>
    <w:p w14:paraId="404DA118" w14:textId="77777777" w:rsidR="001768F0" w:rsidRDefault="001768F0" w:rsidP="001768F0">
      <w:r w:rsidRPr="00DF17C9">
        <w:rPr>
          <w:highlight w:val="lightGray"/>
        </w:rPr>
        <w:t>EIGE’s guide shows the benefit of the police, justice and health sectors working together to make sure that victims get the essential services in time. These can range from counselling services to financial assistance.</w:t>
      </w:r>
    </w:p>
    <w:p w14:paraId="7D29E750" w14:textId="77777777" w:rsidR="001768F0" w:rsidRDefault="001768F0" w:rsidP="001768F0"/>
    <w:p w14:paraId="4B9BE0D9" w14:textId="77777777" w:rsidR="001768F0" w:rsidRDefault="001768F0" w:rsidP="001768F0">
      <w:r w:rsidRPr="00DF17C9">
        <w:rPr>
          <w:highlight w:val="lightGray"/>
        </w:rPr>
        <w:t>The guide also recommends that an individual risk assessment strategy be developed in close cooperation with the victim. It should take their specific situation and needs into account to ensure that they are protected in a way that best fits their needs and those of their children.</w:t>
      </w:r>
    </w:p>
    <w:p w14:paraId="360DB72E" w14:textId="77777777" w:rsidR="001768F0" w:rsidRDefault="001768F0" w:rsidP="001768F0"/>
    <w:p w14:paraId="47392B17" w14:textId="77777777" w:rsidR="001768F0" w:rsidRDefault="001768F0" w:rsidP="001768F0">
      <w:r w:rsidRPr="00DF17C9">
        <w:rPr>
          <w:highlight w:val="lightGray"/>
        </w:rPr>
        <w:t>EIGE’s risk assessment guide can also assist Member States with their reporting obligations under the Istanbul Convention, Victims’ Rights Directive and EU protection order legislation. It offers a way to transform articles from these legal texts into concrete actions on the ground.</w:t>
      </w:r>
    </w:p>
    <w:p w14:paraId="7736E0DA" w14:textId="77777777" w:rsidR="001768F0" w:rsidRDefault="001768F0" w:rsidP="001768F0"/>
    <w:p w14:paraId="0F5D00B0" w14:textId="77777777" w:rsidR="001768F0" w:rsidRDefault="001768F0" w:rsidP="001768F0">
      <w:r>
        <w:t>In addition to the guide, EIGE has also published a report that gives an overview of risk assessment and management practices in each EU Member State. It outlines the approach taken by each country, identifies gaps and challenges, and proposes a way to improve the existing policies.</w:t>
      </w:r>
    </w:p>
    <w:p w14:paraId="7DF00C37" w14:textId="77777777" w:rsidR="001768F0" w:rsidRDefault="001768F0" w:rsidP="001768F0"/>
    <w:p w14:paraId="3961D629" w14:textId="7D11A797" w:rsidR="00BE080D" w:rsidRDefault="001768F0" w:rsidP="001768F0">
      <w:r w:rsidRPr="00DF17C9">
        <w:rPr>
          <w:highlight w:val="cyan"/>
        </w:rPr>
        <w:t xml:space="preserve">To raise awareness about violence against women and kick-off the ‘16 days of activism against gender-based violence' campaign, important monuments around the world will be lit up in </w:t>
      </w:r>
      <w:r w:rsidRPr="00DF17C9">
        <w:rPr>
          <w:highlight w:val="cyan"/>
        </w:rPr>
        <w:lastRenderedPageBreak/>
        <w:t>orange. EIGE will light up Europe House in Vilnius on 25 November and the European Commission's headquarters in Brussels will light up on 24 November.</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55"/>
    <w:rsid w:val="001768F0"/>
    <w:rsid w:val="00453EED"/>
    <w:rsid w:val="00940C55"/>
    <w:rsid w:val="00BE080D"/>
    <w:rsid w:val="00DF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BB6D4"/>
  <w14:defaultImageDpi w14:val="32767"/>
  <w15:chartTrackingRefBased/>
  <w15:docId w15:val="{F720D121-3F16-B749-9717-42ABC0D0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61331">
      <w:bodyDiv w:val="1"/>
      <w:marLeft w:val="0"/>
      <w:marRight w:val="0"/>
      <w:marTop w:val="0"/>
      <w:marBottom w:val="0"/>
      <w:divBdr>
        <w:top w:val="none" w:sz="0" w:space="0" w:color="auto"/>
        <w:left w:val="none" w:sz="0" w:space="0" w:color="auto"/>
        <w:bottom w:val="none" w:sz="0" w:space="0" w:color="auto"/>
        <w:right w:val="none" w:sz="0" w:space="0" w:color="auto"/>
      </w:divBdr>
      <w:divsChild>
        <w:div w:id="169637473">
          <w:marLeft w:val="0"/>
          <w:marRight w:val="0"/>
          <w:marTop w:val="0"/>
          <w:marBottom w:val="0"/>
          <w:divBdr>
            <w:top w:val="none" w:sz="0" w:space="0" w:color="auto"/>
            <w:left w:val="none" w:sz="0" w:space="0" w:color="auto"/>
            <w:bottom w:val="none" w:sz="0" w:space="0" w:color="auto"/>
            <w:right w:val="none" w:sz="0" w:space="0" w:color="auto"/>
          </w:divBdr>
        </w:div>
        <w:div w:id="686835650">
          <w:marLeft w:val="0"/>
          <w:marRight w:val="0"/>
          <w:marTop w:val="0"/>
          <w:marBottom w:val="0"/>
          <w:divBdr>
            <w:top w:val="none" w:sz="0" w:space="0" w:color="auto"/>
            <w:left w:val="none" w:sz="0" w:space="0" w:color="auto"/>
            <w:bottom w:val="none" w:sz="0" w:space="0" w:color="auto"/>
            <w:right w:val="none" w:sz="0" w:space="0" w:color="auto"/>
          </w:divBdr>
          <w:divsChild>
            <w:div w:id="1620454881">
              <w:marLeft w:val="0"/>
              <w:marRight w:val="0"/>
              <w:marTop w:val="0"/>
              <w:marBottom w:val="0"/>
              <w:divBdr>
                <w:top w:val="none" w:sz="0" w:space="0" w:color="auto"/>
                <w:left w:val="none" w:sz="0" w:space="0" w:color="auto"/>
                <w:bottom w:val="none" w:sz="0" w:space="0" w:color="auto"/>
                <w:right w:val="none" w:sz="0" w:space="0" w:color="auto"/>
              </w:divBdr>
              <w:divsChild>
                <w:div w:id="1773822502">
                  <w:marLeft w:val="0"/>
                  <w:marRight w:val="0"/>
                  <w:marTop w:val="0"/>
                  <w:marBottom w:val="0"/>
                  <w:divBdr>
                    <w:top w:val="none" w:sz="0" w:space="0" w:color="auto"/>
                    <w:left w:val="none" w:sz="0" w:space="0" w:color="auto"/>
                    <w:bottom w:val="none" w:sz="0" w:space="0" w:color="auto"/>
                    <w:right w:val="none" w:sz="0" w:space="0" w:color="auto"/>
                  </w:divBdr>
                  <w:divsChild>
                    <w:div w:id="917060321">
                      <w:marLeft w:val="0"/>
                      <w:marRight w:val="0"/>
                      <w:marTop w:val="0"/>
                      <w:marBottom w:val="0"/>
                      <w:divBdr>
                        <w:top w:val="none" w:sz="0" w:space="0" w:color="auto"/>
                        <w:left w:val="none" w:sz="0" w:space="0" w:color="auto"/>
                        <w:bottom w:val="none" w:sz="0" w:space="0" w:color="auto"/>
                        <w:right w:val="none" w:sz="0" w:space="0" w:color="auto"/>
                      </w:divBdr>
                      <w:divsChild>
                        <w:div w:id="679892843">
                          <w:marLeft w:val="0"/>
                          <w:marRight w:val="0"/>
                          <w:marTop w:val="0"/>
                          <w:marBottom w:val="0"/>
                          <w:divBdr>
                            <w:top w:val="none" w:sz="0" w:space="0" w:color="auto"/>
                            <w:left w:val="none" w:sz="0" w:space="0" w:color="auto"/>
                            <w:bottom w:val="none" w:sz="0" w:space="0" w:color="auto"/>
                            <w:right w:val="none" w:sz="0" w:space="0" w:color="auto"/>
                          </w:divBdr>
                          <w:divsChild>
                            <w:div w:id="1129129998">
                              <w:marLeft w:val="0"/>
                              <w:marRight w:val="0"/>
                              <w:marTop w:val="0"/>
                              <w:marBottom w:val="0"/>
                              <w:divBdr>
                                <w:top w:val="none" w:sz="0" w:space="0" w:color="auto"/>
                                <w:left w:val="none" w:sz="0" w:space="0" w:color="auto"/>
                                <w:bottom w:val="none" w:sz="0" w:space="0" w:color="auto"/>
                                <w:right w:val="none" w:sz="0" w:space="0" w:color="auto"/>
                              </w:divBdr>
                              <w:divsChild>
                                <w:div w:id="529806082">
                                  <w:marLeft w:val="0"/>
                                  <w:marRight w:val="0"/>
                                  <w:marTop w:val="0"/>
                                  <w:marBottom w:val="0"/>
                                  <w:divBdr>
                                    <w:top w:val="none" w:sz="0" w:space="0" w:color="auto"/>
                                    <w:left w:val="none" w:sz="0" w:space="0" w:color="auto"/>
                                    <w:bottom w:val="none" w:sz="0" w:space="0" w:color="auto"/>
                                    <w:right w:val="none" w:sz="0" w:space="0" w:color="auto"/>
                                  </w:divBdr>
                                </w:div>
                                <w:div w:id="813526535">
                                  <w:marLeft w:val="0"/>
                                  <w:marRight w:val="0"/>
                                  <w:marTop w:val="0"/>
                                  <w:marBottom w:val="0"/>
                                  <w:divBdr>
                                    <w:top w:val="none" w:sz="0" w:space="0" w:color="auto"/>
                                    <w:left w:val="single" w:sz="6" w:space="0" w:color="E0E0E0"/>
                                    <w:bottom w:val="none" w:sz="0" w:space="0" w:color="auto"/>
                                    <w:right w:val="none" w:sz="0" w:space="0" w:color="auto"/>
                                  </w:divBdr>
                                  <w:divsChild>
                                    <w:div w:id="1672953785">
                                      <w:marLeft w:val="0"/>
                                      <w:marRight w:val="0"/>
                                      <w:marTop w:val="0"/>
                                      <w:marBottom w:val="0"/>
                                      <w:divBdr>
                                        <w:top w:val="none" w:sz="0" w:space="0" w:color="auto"/>
                                        <w:left w:val="none" w:sz="0" w:space="0" w:color="auto"/>
                                        <w:bottom w:val="none" w:sz="0" w:space="0" w:color="auto"/>
                                        <w:right w:val="none" w:sz="0" w:space="0" w:color="auto"/>
                                      </w:divBdr>
                                    </w:div>
                                  </w:divsChild>
                                </w:div>
                                <w:div w:id="1193032583">
                                  <w:marLeft w:val="0"/>
                                  <w:marRight w:val="0"/>
                                  <w:marTop w:val="0"/>
                                  <w:marBottom w:val="0"/>
                                  <w:divBdr>
                                    <w:top w:val="none" w:sz="0" w:space="0" w:color="auto"/>
                                    <w:left w:val="single" w:sz="6" w:space="0" w:color="E0E0E0"/>
                                    <w:bottom w:val="none" w:sz="0" w:space="0" w:color="auto"/>
                                    <w:right w:val="none" w:sz="0" w:space="0" w:color="auto"/>
                                  </w:divBdr>
                                  <w:divsChild>
                                    <w:div w:id="10484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835094">
          <w:marLeft w:val="0"/>
          <w:marRight w:val="0"/>
          <w:marTop w:val="0"/>
          <w:marBottom w:val="0"/>
          <w:divBdr>
            <w:top w:val="none" w:sz="0" w:space="0" w:color="auto"/>
            <w:left w:val="none" w:sz="0" w:space="0" w:color="auto"/>
            <w:bottom w:val="none" w:sz="0" w:space="0" w:color="auto"/>
            <w:right w:val="none" w:sz="0" w:space="0" w:color="auto"/>
          </w:divBdr>
          <w:divsChild>
            <w:div w:id="70927286">
              <w:marLeft w:val="0"/>
              <w:marRight w:val="0"/>
              <w:marTop w:val="0"/>
              <w:marBottom w:val="0"/>
              <w:divBdr>
                <w:top w:val="none" w:sz="0" w:space="0" w:color="auto"/>
                <w:left w:val="none" w:sz="0" w:space="0" w:color="auto"/>
                <w:bottom w:val="none" w:sz="0" w:space="0" w:color="auto"/>
                <w:right w:val="none" w:sz="0" w:space="0" w:color="auto"/>
              </w:divBdr>
              <w:divsChild>
                <w:div w:id="289827537">
                  <w:marLeft w:val="0"/>
                  <w:marRight w:val="0"/>
                  <w:marTop w:val="0"/>
                  <w:marBottom w:val="0"/>
                  <w:divBdr>
                    <w:top w:val="none" w:sz="0" w:space="0" w:color="auto"/>
                    <w:left w:val="none" w:sz="0" w:space="0" w:color="auto"/>
                    <w:bottom w:val="none" w:sz="0" w:space="0" w:color="auto"/>
                    <w:right w:val="none" w:sz="0" w:space="0" w:color="auto"/>
                  </w:divBdr>
                  <w:divsChild>
                    <w:div w:id="237399879">
                      <w:marLeft w:val="0"/>
                      <w:marRight w:val="0"/>
                      <w:marTop w:val="0"/>
                      <w:marBottom w:val="0"/>
                      <w:divBdr>
                        <w:top w:val="none" w:sz="0" w:space="0" w:color="auto"/>
                        <w:left w:val="none" w:sz="0" w:space="0" w:color="auto"/>
                        <w:bottom w:val="none" w:sz="0" w:space="0" w:color="auto"/>
                        <w:right w:val="none" w:sz="0" w:space="0" w:color="auto"/>
                      </w:divBdr>
                      <w:divsChild>
                        <w:div w:id="1783643334">
                          <w:marLeft w:val="0"/>
                          <w:marRight w:val="0"/>
                          <w:marTop w:val="0"/>
                          <w:marBottom w:val="0"/>
                          <w:divBdr>
                            <w:top w:val="none" w:sz="0" w:space="0" w:color="auto"/>
                            <w:left w:val="none" w:sz="0" w:space="0" w:color="auto"/>
                            <w:bottom w:val="none" w:sz="0" w:space="0" w:color="auto"/>
                            <w:right w:val="none" w:sz="0" w:space="0" w:color="auto"/>
                          </w:divBdr>
                          <w:divsChild>
                            <w:div w:id="1032343353">
                              <w:marLeft w:val="0"/>
                              <w:marRight w:val="0"/>
                              <w:marTop w:val="0"/>
                              <w:marBottom w:val="0"/>
                              <w:divBdr>
                                <w:top w:val="none" w:sz="0" w:space="0" w:color="auto"/>
                                <w:left w:val="single" w:sz="6" w:space="0" w:color="E0E0E0"/>
                                <w:bottom w:val="none" w:sz="0" w:space="0" w:color="auto"/>
                                <w:right w:val="none" w:sz="0" w:space="0" w:color="auto"/>
                              </w:divBdr>
                              <w:divsChild>
                                <w:div w:id="2045397162">
                                  <w:marLeft w:val="0"/>
                                  <w:marRight w:val="0"/>
                                  <w:marTop w:val="0"/>
                                  <w:marBottom w:val="0"/>
                                  <w:divBdr>
                                    <w:top w:val="none" w:sz="0" w:space="0" w:color="auto"/>
                                    <w:left w:val="none" w:sz="0" w:space="0" w:color="auto"/>
                                    <w:bottom w:val="none" w:sz="0" w:space="0" w:color="auto"/>
                                    <w:right w:val="none" w:sz="0" w:space="0" w:color="auto"/>
                                  </w:divBdr>
                                  <w:divsChild>
                                    <w:div w:id="19683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562">
                              <w:marLeft w:val="0"/>
                              <w:marRight w:val="0"/>
                              <w:marTop w:val="0"/>
                              <w:marBottom w:val="0"/>
                              <w:divBdr>
                                <w:top w:val="none" w:sz="0" w:space="0" w:color="auto"/>
                                <w:left w:val="none" w:sz="0" w:space="0" w:color="auto"/>
                                <w:bottom w:val="none" w:sz="0" w:space="0" w:color="auto"/>
                                <w:right w:val="none" w:sz="0" w:space="0" w:color="auto"/>
                              </w:divBdr>
                              <w:divsChild>
                                <w:div w:id="1440568544">
                                  <w:marLeft w:val="0"/>
                                  <w:marRight w:val="0"/>
                                  <w:marTop w:val="0"/>
                                  <w:marBottom w:val="0"/>
                                  <w:divBdr>
                                    <w:top w:val="none" w:sz="0" w:space="0" w:color="FFCE00"/>
                                    <w:left w:val="single" w:sz="12" w:space="0" w:color="FFCE00"/>
                                    <w:bottom w:val="none" w:sz="0" w:space="0" w:color="FFCE00"/>
                                    <w:right w:val="none" w:sz="0" w:space="0" w:color="FFCE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2020-02-17T16:08:00Z</dcterms:created>
  <dcterms:modified xsi:type="dcterms:W3CDTF">2020-04-21T15:12:00Z</dcterms:modified>
</cp:coreProperties>
</file>