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3689E" w14:textId="77777777" w:rsidR="00C23DC5" w:rsidRPr="00C23DC5" w:rsidRDefault="00C23DC5" w:rsidP="00C23DC5">
      <w:pPr>
        <w:shd w:val="clear" w:color="auto" w:fill="FFFFFF"/>
        <w:spacing w:after="100" w:afterAutospacing="1"/>
        <w:outlineLvl w:val="0"/>
        <w:rPr>
          <w:rFonts w:ascii="Calibri" w:eastAsia="Times New Roman" w:hAnsi="Calibri" w:cs="Calibri"/>
          <w:color w:val="151A1E"/>
          <w:kern w:val="36"/>
          <w:sz w:val="48"/>
          <w:szCs w:val="48"/>
        </w:rPr>
      </w:pPr>
      <w:r w:rsidRPr="00C23DC5">
        <w:rPr>
          <w:rFonts w:ascii="Calibri" w:eastAsia="Times New Roman" w:hAnsi="Calibri" w:cs="Calibri"/>
          <w:color w:val="151A1E"/>
          <w:kern w:val="36"/>
          <w:sz w:val="48"/>
          <w:szCs w:val="48"/>
        </w:rPr>
        <w:t>EIOPA’s Risk Dashboard for October 2019 shows broadly stable risk exposures of European insurers, with macro and market risks still at a high level</w:t>
      </w:r>
    </w:p>
    <w:p w14:paraId="4D3155AE" w14:textId="77777777" w:rsidR="00C23DC5" w:rsidRPr="00C23DC5" w:rsidRDefault="00C23DC5" w:rsidP="00C23DC5">
      <w:pPr>
        <w:rPr>
          <w:rFonts w:ascii="Calibri" w:eastAsia="Times New Roman" w:hAnsi="Calibri" w:cs="Calibri"/>
          <w:caps/>
          <w:color w:val="151A1E"/>
        </w:rPr>
      </w:pPr>
      <w:r w:rsidRPr="00C23DC5">
        <w:rPr>
          <w:rFonts w:ascii="Calibri" w:eastAsia="Times New Roman" w:hAnsi="Calibri" w:cs="Calibri"/>
          <w:caps/>
          <w:color w:val="151A1E"/>
        </w:rPr>
        <w:t>NEWS</w:t>
      </w:r>
    </w:p>
    <w:p w14:paraId="78B0DDB5" w14:textId="77777777" w:rsidR="00C23DC5" w:rsidRPr="00C23DC5" w:rsidRDefault="00C23DC5" w:rsidP="00C23DC5">
      <w:pPr>
        <w:rPr>
          <w:rFonts w:ascii="Calibri" w:eastAsia="Times New Roman" w:hAnsi="Calibri" w:cs="Calibri"/>
          <w:color w:val="151A1E"/>
        </w:rPr>
      </w:pPr>
      <w:r w:rsidRPr="00C23DC5">
        <w:rPr>
          <w:rFonts w:ascii="Calibri" w:eastAsia="Times New Roman" w:hAnsi="Calibri" w:cs="Calibri"/>
          <w:color w:val="151A1E"/>
        </w:rPr>
        <w:t> </w:t>
      </w:r>
    </w:p>
    <w:p w14:paraId="34365F5E" w14:textId="77777777" w:rsidR="00C23DC5" w:rsidRPr="00C23DC5" w:rsidRDefault="00C23DC5" w:rsidP="00C23DC5">
      <w:pPr>
        <w:rPr>
          <w:rFonts w:ascii="Calibri" w:eastAsia="Times New Roman" w:hAnsi="Calibri" w:cs="Calibri"/>
          <w:caps/>
          <w:color w:val="151A1E"/>
        </w:rPr>
      </w:pPr>
      <w:r w:rsidRPr="00C23DC5">
        <w:rPr>
          <w:rFonts w:ascii="Calibri" w:eastAsia="Times New Roman" w:hAnsi="Calibri" w:cs="Calibri"/>
          <w:caps/>
          <w:color w:val="151A1E"/>
        </w:rPr>
        <w:t>DATE:</w:t>
      </w:r>
    </w:p>
    <w:p w14:paraId="24F5614E" w14:textId="77777777" w:rsidR="00C23DC5" w:rsidRPr="00C23DC5" w:rsidRDefault="00C23DC5" w:rsidP="00C23DC5">
      <w:pPr>
        <w:rPr>
          <w:rFonts w:ascii="Calibri" w:eastAsia="Times New Roman" w:hAnsi="Calibri" w:cs="Calibri"/>
          <w:color w:val="151A1E"/>
        </w:rPr>
      </w:pPr>
      <w:r w:rsidRPr="00C23DC5">
        <w:rPr>
          <w:rFonts w:ascii="Calibri" w:eastAsia="Times New Roman" w:hAnsi="Calibri" w:cs="Calibri"/>
          <w:color w:val="151A1E"/>
        </w:rPr>
        <w:t> </w:t>
      </w:r>
    </w:p>
    <w:p w14:paraId="74A2C41A" w14:textId="77777777" w:rsidR="00C23DC5" w:rsidRPr="00C23DC5" w:rsidRDefault="00C23DC5" w:rsidP="00C23DC5">
      <w:pPr>
        <w:rPr>
          <w:rFonts w:ascii="Calibri" w:eastAsia="Times New Roman" w:hAnsi="Calibri" w:cs="Calibri"/>
          <w:color w:val="151A1E"/>
        </w:rPr>
      </w:pPr>
      <w:r w:rsidRPr="00C23DC5">
        <w:rPr>
          <w:rFonts w:ascii="Calibri" w:eastAsia="Times New Roman" w:hAnsi="Calibri" w:cs="Calibri"/>
          <w:color w:val="151A1E"/>
        </w:rPr>
        <w:t>25 Oct 2019</w:t>
      </w:r>
    </w:p>
    <w:p w14:paraId="234A0053" w14:textId="77777777" w:rsidR="00C23DC5" w:rsidRPr="00C23DC5" w:rsidRDefault="00C23DC5" w:rsidP="00C23DC5">
      <w:pPr>
        <w:spacing w:after="100" w:afterAutospacing="1"/>
        <w:rPr>
          <w:rFonts w:ascii="Calibri" w:eastAsia="Times New Roman" w:hAnsi="Calibri" w:cs="Calibri"/>
          <w:color w:val="151A1E"/>
        </w:rPr>
      </w:pPr>
      <w:r w:rsidRPr="000759D7">
        <w:rPr>
          <w:rFonts w:ascii="Calibri" w:eastAsia="Times New Roman" w:hAnsi="Calibri" w:cs="Calibri"/>
          <w:color w:val="151A1E"/>
          <w:highlight w:val="darkGray"/>
        </w:rPr>
        <w:t>Today, the European Insurance and Occupational Pensions Authority (EIOPA) published its updated Risk Dashboard based on the second quarter 2019 Solvency II data.</w:t>
      </w:r>
      <w:r w:rsidRPr="00C23DC5">
        <w:rPr>
          <w:rFonts w:ascii="Calibri" w:eastAsia="Times New Roman" w:hAnsi="Calibri" w:cs="Calibri"/>
          <w:color w:val="151A1E"/>
        </w:rPr>
        <w:t> </w:t>
      </w:r>
    </w:p>
    <w:p w14:paraId="68FB32C3" w14:textId="77777777" w:rsidR="00C23DC5" w:rsidRPr="00C23DC5" w:rsidRDefault="00C23DC5" w:rsidP="00C23DC5">
      <w:pPr>
        <w:spacing w:after="100" w:afterAutospacing="1"/>
        <w:rPr>
          <w:rFonts w:ascii="Calibri" w:eastAsia="Times New Roman" w:hAnsi="Calibri" w:cs="Calibri"/>
          <w:color w:val="151A1E"/>
        </w:rPr>
      </w:pPr>
      <w:r w:rsidRPr="000759D7">
        <w:rPr>
          <w:rFonts w:ascii="Calibri" w:eastAsia="Times New Roman" w:hAnsi="Calibri" w:cs="Calibri"/>
          <w:color w:val="151A1E"/>
          <w:highlight w:val="darkGray"/>
        </w:rPr>
        <w:t>The results show that the risk exposures of the European insurance sector remained overall stable compared to July. Macro and market risks continue at a high level. Downward revisions to Gross Domestic Product (GDP) growth and inflation forecasts and declines in swap rates for major currencies are adding further pressure to the sector. Volatility of the largest asset class – bonds – increased.</w:t>
      </w:r>
    </w:p>
    <w:p w14:paraId="07D74F0A" w14:textId="77777777" w:rsidR="00C23DC5" w:rsidRPr="00C23DC5" w:rsidRDefault="00C23DC5" w:rsidP="00C23DC5">
      <w:pPr>
        <w:spacing w:after="100" w:afterAutospacing="1"/>
        <w:rPr>
          <w:rFonts w:ascii="Calibri" w:eastAsia="Times New Roman" w:hAnsi="Calibri" w:cs="Calibri"/>
          <w:color w:val="151A1E"/>
        </w:rPr>
      </w:pPr>
      <w:r w:rsidRPr="000759D7">
        <w:rPr>
          <w:rFonts w:ascii="Calibri" w:eastAsia="Times New Roman" w:hAnsi="Calibri" w:cs="Calibri"/>
          <w:color w:val="151A1E"/>
          <w:highlight w:val="darkGray"/>
        </w:rPr>
        <w:t>Credit risks continue at a medium level, with somewhat lower Credit Default Swaps (CDS) spreads for most bond segments and broadly stable credit quality of asset portfolios.</w:t>
      </w:r>
      <w:r w:rsidRPr="00C23DC5">
        <w:rPr>
          <w:rFonts w:ascii="Calibri" w:eastAsia="Times New Roman" w:hAnsi="Calibri" w:cs="Calibri"/>
          <w:color w:val="151A1E"/>
        </w:rPr>
        <w:t xml:space="preserve"> </w:t>
      </w:r>
      <w:r w:rsidRPr="000759D7">
        <w:rPr>
          <w:rFonts w:ascii="Calibri" w:eastAsia="Times New Roman" w:hAnsi="Calibri" w:cs="Calibri"/>
          <w:color w:val="151A1E"/>
          <w:highlight w:val="darkGray"/>
        </w:rPr>
        <w:t xml:space="preserve">Nonetheless, signs of potential risk mispricing prevail. Profitability and solvency risks are also at a medium level. Half-yearly profitability indicators improved compared to the second quarter of 2018 due to higher profit and loss figures reported by some insurance groups. Solvency Capital Requirement (SCR) ratios for life undertakings declined. Interlinkages and imbalances show a decreasing trend due to a lower share of premiums ceded to </w:t>
      </w:r>
      <w:proofErr w:type="gramStart"/>
      <w:r w:rsidRPr="000759D7">
        <w:rPr>
          <w:rFonts w:ascii="Calibri" w:eastAsia="Times New Roman" w:hAnsi="Calibri" w:cs="Calibri"/>
          <w:color w:val="151A1E"/>
          <w:highlight w:val="darkGray"/>
        </w:rPr>
        <w:t>reinsurers, but</w:t>
      </w:r>
      <w:proofErr w:type="gramEnd"/>
      <w:r w:rsidRPr="000759D7">
        <w:rPr>
          <w:rFonts w:ascii="Calibri" w:eastAsia="Times New Roman" w:hAnsi="Calibri" w:cs="Calibri"/>
          <w:color w:val="151A1E"/>
          <w:highlight w:val="darkGray"/>
        </w:rPr>
        <w:t xml:space="preserve"> remain at a medium level. Market perceptions were marked by an underperformance of insurers' stocks compared to overall equity markets, whereas no change was observed in insurers' external ratings</w:t>
      </w:r>
      <w:r w:rsidRPr="00C23DC5">
        <w:rPr>
          <w:rFonts w:ascii="Calibri" w:eastAsia="Times New Roman" w:hAnsi="Calibri" w:cs="Calibri"/>
          <w:color w:val="151A1E"/>
        </w:rPr>
        <w:t>.</w:t>
      </w:r>
    </w:p>
    <w:p w14:paraId="69FFF132" w14:textId="77777777" w:rsidR="00C23DC5" w:rsidRPr="00C23DC5" w:rsidRDefault="00C23DC5" w:rsidP="00C23DC5">
      <w:pPr>
        <w:spacing w:after="100" w:afterAutospacing="1"/>
        <w:rPr>
          <w:rFonts w:ascii="Calibri" w:eastAsia="Times New Roman" w:hAnsi="Calibri" w:cs="Calibri"/>
          <w:color w:val="151A1E"/>
        </w:rPr>
      </w:pPr>
      <w:r w:rsidRPr="00C23DC5">
        <w:rPr>
          <w:rFonts w:ascii="Calibri" w:eastAsia="Times New Roman" w:hAnsi="Calibri" w:cs="Calibri"/>
          <w:color w:val="151A1E"/>
        </w:rPr>
        <w:t>Background </w:t>
      </w:r>
    </w:p>
    <w:p w14:paraId="1AD4FEB5" w14:textId="77777777" w:rsidR="00C23DC5" w:rsidRPr="00C23DC5" w:rsidRDefault="00C23DC5" w:rsidP="00C23DC5">
      <w:pPr>
        <w:spacing w:after="100" w:afterAutospacing="1"/>
        <w:rPr>
          <w:rFonts w:ascii="Calibri" w:eastAsia="Times New Roman" w:hAnsi="Calibri" w:cs="Calibri"/>
          <w:color w:val="151A1E"/>
        </w:rPr>
      </w:pPr>
      <w:bookmarkStart w:id="0" w:name="_GoBack"/>
      <w:bookmarkEnd w:id="0"/>
      <w:r w:rsidRPr="000759D7">
        <w:rPr>
          <w:rFonts w:ascii="Calibri" w:eastAsia="Times New Roman" w:hAnsi="Calibri" w:cs="Calibri"/>
          <w:color w:val="151A1E"/>
          <w:highlight w:val="darkGray"/>
        </w:rPr>
        <w:t xml:space="preserve">This Risk Dashboard based on Solvency II data </w:t>
      </w:r>
      <w:proofErr w:type="spellStart"/>
      <w:r w:rsidRPr="000759D7">
        <w:rPr>
          <w:rFonts w:ascii="Calibri" w:eastAsia="Times New Roman" w:hAnsi="Calibri" w:cs="Calibri"/>
          <w:color w:val="151A1E"/>
          <w:highlight w:val="darkGray"/>
        </w:rPr>
        <w:t>summarises</w:t>
      </w:r>
      <w:proofErr w:type="spellEnd"/>
      <w:r w:rsidRPr="000759D7">
        <w:rPr>
          <w:rFonts w:ascii="Calibri" w:eastAsia="Times New Roman" w:hAnsi="Calibri" w:cs="Calibri"/>
          <w:color w:val="151A1E"/>
          <w:highlight w:val="darkGray"/>
        </w:rPr>
        <w:t xml:space="preserve"> the main risks and vulnerabilities in the European insurance sector through a set of risk indicators of the second quarter of 2019. This data is based on financial stability and prudential reporting collected from 96 insurance groups and 2,852 solo insurance undertakings.</w:t>
      </w:r>
    </w:p>
    <w:p w14:paraId="399AD90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F6"/>
    <w:rsid w:val="000759D7"/>
    <w:rsid w:val="00453EED"/>
    <w:rsid w:val="00BE080D"/>
    <w:rsid w:val="00C23DC5"/>
    <w:rsid w:val="00C4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528E7"/>
  <w14:defaultImageDpi w14:val="32767"/>
  <w15:chartTrackingRefBased/>
  <w15:docId w15:val="{81588E30-3901-3C4B-8BA3-BEF9F399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23DC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DC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23DC5"/>
  </w:style>
  <w:style w:type="paragraph" w:styleId="NormalWeb">
    <w:name w:val="Normal (Web)"/>
    <w:basedOn w:val="Normal"/>
    <w:uiPriority w:val="99"/>
    <w:semiHidden/>
    <w:unhideWhenUsed/>
    <w:rsid w:val="00C23D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D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6082">
      <w:bodyDiv w:val="1"/>
      <w:marLeft w:val="0"/>
      <w:marRight w:val="0"/>
      <w:marTop w:val="0"/>
      <w:marBottom w:val="0"/>
      <w:divBdr>
        <w:top w:val="none" w:sz="0" w:space="0" w:color="auto"/>
        <w:left w:val="none" w:sz="0" w:space="0" w:color="auto"/>
        <w:bottom w:val="none" w:sz="0" w:space="0" w:color="auto"/>
        <w:right w:val="none" w:sz="0" w:space="0" w:color="auto"/>
      </w:divBdr>
      <w:divsChild>
        <w:div w:id="1926717636">
          <w:marLeft w:val="0"/>
          <w:marRight w:val="0"/>
          <w:marTop w:val="0"/>
          <w:marBottom w:val="0"/>
          <w:divBdr>
            <w:top w:val="none" w:sz="0" w:space="0" w:color="auto"/>
            <w:left w:val="none" w:sz="0" w:space="0" w:color="auto"/>
            <w:bottom w:val="none" w:sz="0" w:space="0" w:color="auto"/>
            <w:right w:val="none" w:sz="0" w:space="0" w:color="auto"/>
          </w:divBdr>
          <w:divsChild>
            <w:div w:id="26683110">
              <w:marLeft w:val="0"/>
              <w:marRight w:val="0"/>
              <w:marTop w:val="0"/>
              <w:marBottom w:val="0"/>
              <w:divBdr>
                <w:top w:val="none" w:sz="0" w:space="0" w:color="auto"/>
                <w:left w:val="none" w:sz="0" w:space="0" w:color="auto"/>
                <w:bottom w:val="none" w:sz="0" w:space="0" w:color="auto"/>
                <w:right w:val="none" w:sz="0" w:space="0" w:color="auto"/>
              </w:divBdr>
            </w:div>
            <w:div w:id="2019497371">
              <w:marLeft w:val="0"/>
              <w:marRight w:val="0"/>
              <w:marTop w:val="0"/>
              <w:marBottom w:val="0"/>
              <w:divBdr>
                <w:top w:val="none" w:sz="0" w:space="0" w:color="auto"/>
                <w:left w:val="none" w:sz="0" w:space="0" w:color="auto"/>
                <w:bottom w:val="none" w:sz="0" w:space="0" w:color="auto"/>
                <w:right w:val="none" w:sz="0" w:space="0" w:color="auto"/>
              </w:divBdr>
              <w:divsChild>
                <w:div w:id="931742724">
                  <w:marLeft w:val="0"/>
                  <w:marRight w:val="0"/>
                  <w:marTop w:val="0"/>
                  <w:marBottom w:val="0"/>
                  <w:divBdr>
                    <w:top w:val="none" w:sz="0" w:space="0" w:color="auto"/>
                    <w:left w:val="none" w:sz="0" w:space="0" w:color="auto"/>
                    <w:bottom w:val="none" w:sz="0" w:space="0" w:color="auto"/>
                    <w:right w:val="none" w:sz="0" w:space="0" w:color="auto"/>
                  </w:divBdr>
                  <w:divsChild>
                    <w:div w:id="1156149012">
                      <w:marLeft w:val="0"/>
                      <w:marRight w:val="0"/>
                      <w:marTop w:val="0"/>
                      <w:marBottom w:val="0"/>
                      <w:divBdr>
                        <w:top w:val="none" w:sz="0" w:space="0" w:color="auto"/>
                        <w:left w:val="none" w:sz="0" w:space="0" w:color="auto"/>
                        <w:bottom w:val="none" w:sz="0" w:space="0" w:color="auto"/>
                        <w:right w:val="single" w:sz="6" w:space="0" w:color="151A1E"/>
                      </w:divBdr>
                      <w:divsChild>
                        <w:div w:id="1345132514">
                          <w:marLeft w:val="60"/>
                          <w:marRight w:val="0"/>
                          <w:marTop w:val="0"/>
                          <w:marBottom w:val="0"/>
                          <w:divBdr>
                            <w:top w:val="none" w:sz="0" w:space="0" w:color="auto"/>
                            <w:left w:val="none" w:sz="0" w:space="0" w:color="auto"/>
                            <w:bottom w:val="none" w:sz="0" w:space="0" w:color="auto"/>
                            <w:right w:val="none" w:sz="0" w:space="0" w:color="auto"/>
                          </w:divBdr>
                        </w:div>
                      </w:divsChild>
                    </w:div>
                    <w:div w:id="2139837531">
                      <w:marLeft w:val="0"/>
                      <w:marRight w:val="0"/>
                      <w:marTop w:val="0"/>
                      <w:marBottom w:val="0"/>
                      <w:divBdr>
                        <w:top w:val="none" w:sz="0" w:space="0" w:color="auto"/>
                        <w:left w:val="none" w:sz="0" w:space="0" w:color="auto"/>
                        <w:bottom w:val="none" w:sz="0" w:space="0" w:color="auto"/>
                        <w:right w:val="none" w:sz="0" w:space="0" w:color="auto"/>
                      </w:divBdr>
                      <w:divsChild>
                        <w:div w:id="1782412045">
                          <w:marLeft w:val="0"/>
                          <w:marRight w:val="0"/>
                          <w:marTop w:val="0"/>
                          <w:marBottom w:val="0"/>
                          <w:divBdr>
                            <w:top w:val="none" w:sz="0" w:space="0" w:color="auto"/>
                            <w:left w:val="none" w:sz="0" w:space="0" w:color="auto"/>
                            <w:bottom w:val="none" w:sz="0" w:space="0" w:color="auto"/>
                            <w:right w:val="none" w:sz="0" w:space="0" w:color="auto"/>
                          </w:divBdr>
                        </w:div>
                        <w:div w:id="14739819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6148">
          <w:marLeft w:val="0"/>
          <w:marRight w:val="0"/>
          <w:marTop w:val="0"/>
          <w:marBottom w:val="0"/>
          <w:divBdr>
            <w:top w:val="none" w:sz="0" w:space="0" w:color="auto"/>
            <w:left w:val="none" w:sz="0" w:space="0" w:color="auto"/>
            <w:bottom w:val="none" w:sz="0" w:space="0" w:color="auto"/>
            <w:right w:val="none" w:sz="0" w:space="0" w:color="auto"/>
          </w:divBdr>
          <w:divsChild>
            <w:div w:id="1959137357">
              <w:marLeft w:val="0"/>
              <w:marRight w:val="0"/>
              <w:marTop w:val="0"/>
              <w:marBottom w:val="0"/>
              <w:divBdr>
                <w:top w:val="none" w:sz="0" w:space="0" w:color="auto"/>
                <w:left w:val="none" w:sz="0" w:space="0" w:color="auto"/>
                <w:bottom w:val="none" w:sz="0" w:space="0" w:color="auto"/>
                <w:right w:val="none" w:sz="0" w:space="0" w:color="auto"/>
              </w:divBdr>
              <w:divsChild>
                <w:div w:id="577904171">
                  <w:marLeft w:val="0"/>
                  <w:marRight w:val="0"/>
                  <w:marTop w:val="0"/>
                  <w:marBottom w:val="0"/>
                  <w:divBdr>
                    <w:top w:val="none" w:sz="0" w:space="0" w:color="auto"/>
                    <w:left w:val="none" w:sz="0" w:space="0" w:color="auto"/>
                    <w:bottom w:val="none" w:sz="0" w:space="0" w:color="auto"/>
                    <w:right w:val="none" w:sz="0" w:space="0" w:color="auto"/>
                  </w:divBdr>
                  <w:divsChild>
                    <w:div w:id="1726832474">
                      <w:marLeft w:val="0"/>
                      <w:marRight w:val="0"/>
                      <w:marTop w:val="0"/>
                      <w:marBottom w:val="0"/>
                      <w:divBdr>
                        <w:top w:val="none" w:sz="0" w:space="0" w:color="auto"/>
                        <w:left w:val="none" w:sz="0" w:space="0" w:color="auto"/>
                        <w:bottom w:val="none" w:sz="0" w:space="0" w:color="auto"/>
                        <w:right w:val="none" w:sz="0" w:space="0" w:color="auto"/>
                      </w:divBdr>
                      <w:divsChild>
                        <w:div w:id="36007926">
                          <w:marLeft w:val="0"/>
                          <w:marRight w:val="0"/>
                          <w:marTop w:val="0"/>
                          <w:marBottom w:val="0"/>
                          <w:divBdr>
                            <w:top w:val="none" w:sz="0" w:space="0" w:color="auto"/>
                            <w:left w:val="none" w:sz="0" w:space="0" w:color="auto"/>
                            <w:bottom w:val="none" w:sz="0" w:space="0" w:color="auto"/>
                            <w:right w:val="none" w:sz="0" w:space="0" w:color="auto"/>
                          </w:divBdr>
                          <w:divsChild>
                            <w:div w:id="673924334">
                              <w:marLeft w:val="0"/>
                              <w:marRight w:val="0"/>
                              <w:marTop w:val="0"/>
                              <w:marBottom w:val="0"/>
                              <w:divBdr>
                                <w:top w:val="none" w:sz="0" w:space="0" w:color="auto"/>
                                <w:left w:val="none" w:sz="0" w:space="0" w:color="auto"/>
                                <w:bottom w:val="none" w:sz="0" w:space="0" w:color="auto"/>
                                <w:right w:val="none" w:sz="0" w:space="0" w:color="auto"/>
                              </w:divBdr>
                              <w:divsChild>
                                <w:div w:id="19212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307">
                      <w:marLeft w:val="0"/>
                      <w:marRight w:val="0"/>
                      <w:marTop w:val="0"/>
                      <w:marBottom w:val="0"/>
                      <w:divBdr>
                        <w:top w:val="none" w:sz="0" w:space="0" w:color="auto"/>
                        <w:left w:val="none" w:sz="0" w:space="0" w:color="auto"/>
                        <w:bottom w:val="none" w:sz="0" w:space="0" w:color="auto"/>
                        <w:right w:val="none" w:sz="0" w:space="0" w:color="auto"/>
                      </w:divBdr>
                      <w:divsChild>
                        <w:div w:id="2037002282">
                          <w:marLeft w:val="0"/>
                          <w:marRight w:val="0"/>
                          <w:marTop w:val="0"/>
                          <w:marBottom w:val="0"/>
                          <w:divBdr>
                            <w:top w:val="none" w:sz="0" w:space="0" w:color="auto"/>
                            <w:left w:val="none" w:sz="0" w:space="0" w:color="auto"/>
                            <w:bottom w:val="none" w:sz="0" w:space="0" w:color="auto"/>
                            <w:right w:val="none" w:sz="0" w:space="0" w:color="auto"/>
                          </w:divBdr>
                          <w:divsChild>
                            <w:div w:id="1998727197">
                              <w:marLeft w:val="0"/>
                              <w:marRight w:val="0"/>
                              <w:marTop w:val="0"/>
                              <w:marBottom w:val="0"/>
                              <w:divBdr>
                                <w:top w:val="none" w:sz="0" w:space="0" w:color="auto"/>
                                <w:left w:val="none" w:sz="0" w:space="0" w:color="auto"/>
                                <w:bottom w:val="none" w:sz="0" w:space="0" w:color="auto"/>
                                <w:right w:val="none" w:sz="0" w:space="0" w:color="auto"/>
                              </w:divBdr>
                              <w:divsChild>
                                <w:div w:id="439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2020-02-17T16:33:00Z</dcterms:created>
  <dcterms:modified xsi:type="dcterms:W3CDTF">2020-04-22T08:43:00Z</dcterms:modified>
</cp:coreProperties>
</file>