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6B051" w14:textId="77777777" w:rsidR="0041012B" w:rsidRPr="0041012B" w:rsidRDefault="0041012B" w:rsidP="0041012B">
      <w:pPr>
        <w:shd w:val="clear" w:color="auto" w:fill="FFFFFF"/>
        <w:spacing w:after="100" w:afterAutospacing="1"/>
        <w:outlineLvl w:val="0"/>
        <w:rPr>
          <w:rFonts w:ascii="Calibri" w:eastAsia="Times New Roman" w:hAnsi="Calibri" w:cs="Calibri"/>
          <w:color w:val="151A1E"/>
          <w:kern w:val="36"/>
          <w:sz w:val="48"/>
          <w:szCs w:val="48"/>
        </w:rPr>
      </w:pPr>
      <w:r w:rsidRPr="0041012B">
        <w:rPr>
          <w:rFonts w:ascii="Calibri" w:eastAsia="Times New Roman" w:hAnsi="Calibri" w:cs="Calibri"/>
          <w:color w:val="151A1E"/>
          <w:kern w:val="36"/>
          <w:sz w:val="48"/>
          <w:szCs w:val="48"/>
        </w:rPr>
        <w:t>EIOPA updates representative portfolios to calculate volatility adjustments to the Solvency II risk-free interest rate term structures</w:t>
      </w:r>
    </w:p>
    <w:p w14:paraId="3376FF19" w14:textId="77777777" w:rsidR="0041012B" w:rsidRPr="0041012B" w:rsidRDefault="0041012B" w:rsidP="0041012B">
      <w:pPr>
        <w:rPr>
          <w:rFonts w:ascii="Calibri" w:eastAsia="Times New Roman" w:hAnsi="Calibri" w:cs="Calibri"/>
          <w:caps/>
          <w:color w:val="151A1E"/>
        </w:rPr>
      </w:pPr>
      <w:r w:rsidRPr="0041012B">
        <w:rPr>
          <w:rFonts w:ascii="Calibri" w:eastAsia="Times New Roman" w:hAnsi="Calibri" w:cs="Calibri"/>
          <w:caps/>
          <w:color w:val="151A1E"/>
        </w:rPr>
        <w:t>NEWS</w:t>
      </w:r>
    </w:p>
    <w:p w14:paraId="77253C98" w14:textId="77777777" w:rsidR="0041012B" w:rsidRPr="0041012B" w:rsidRDefault="0041012B" w:rsidP="0041012B">
      <w:pPr>
        <w:rPr>
          <w:rFonts w:ascii="Calibri" w:eastAsia="Times New Roman" w:hAnsi="Calibri" w:cs="Calibri"/>
          <w:color w:val="151A1E"/>
        </w:rPr>
      </w:pPr>
      <w:r w:rsidRPr="0041012B">
        <w:rPr>
          <w:rFonts w:ascii="Calibri" w:eastAsia="Times New Roman" w:hAnsi="Calibri" w:cs="Calibri"/>
          <w:color w:val="151A1E"/>
        </w:rPr>
        <w:t> </w:t>
      </w:r>
    </w:p>
    <w:p w14:paraId="6A927D3D" w14:textId="77777777" w:rsidR="0041012B" w:rsidRPr="0041012B" w:rsidRDefault="0041012B" w:rsidP="0041012B">
      <w:pPr>
        <w:rPr>
          <w:rFonts w:ascii="Calibri" w:eastAsia="Times New Roman" w:hAnsi="Calibri" w:cs="Calibri"/>
          <w:caps/>
          <w:color w:val="151A1E"/>
        </w:rPr>
      </w:pPr>
      <w:r w:rsidRPr="0041012B">
        <w:rPr>
          <w:rFonts w:ascii="Calibri" w:eastAsia="Times New Roman" w:hAnsi="Calibri" w:cs="Calibri"/>
          <w:caps/>
          <w:color w:val="151A1E"/>
        </w:rPr>
        <w:t>DATE:</w:t>
      </w:r>
    </w:p>
    <w:p w14:paraId="10DB8E44" w14:textId="77777777" w:rsidR="0041012B" w:rsidRPr="0041012B" w:rsidRDefault="0041012B" w:rsidP="0041012B">
      <w:pPr>
        <w:rPr>
          <w:rFonts w:ascii="Calibri" w:eastAsia="Times New Roman" w:hAnsi="Calibri" w:cs="Calibri"/>
          <w:color w:val="151A1E"/>
        </w:rPr>
      </w:pPr>
      <w:r w:rsidRPr="0041012B">
        <w:rPr>
          <w:rFonts w:ascii="Calibri" w:eastAsia="Times New Roman" w:hAnsi="Calibri" w:cs="Calibri"/>
          <w:color w:val="151A1E"/>
        </w:rPr>
        <w:t> </w:t>
      </w:r>
    </w:p>
    <w:p w14:paraId="51ED78E8" w14:textId="77777777" w:rsidR="0041012B" w:rsidRPr="0041012B" w:rsidRDefault="0041012B" w:rsidP="0041012B">
      <w:pPr>
        <w:rPr>
          <w:rFonts w:ascii="Calibri" w:eastAsia="Times New Roman" w:hAnsi="Calibri" w:cs="Calibri"/>
          <w:color w:val="151A1E"/>
        </w:rPr>
      </w:pPr>
      <w:r w:rsidRPr="0041012B">
        <w:rPr>
          <w:rFonts w:ascii="Calibri" w:eastAsia="Times New Roman" w:hAnsi="Calibri" w:cs="Calibri"/>
          <w:color w:val="151A1E"/>
        </w:rPr>
        <w:t>17 Dec 2019</w:t>
      </w:r>
    </w:p>
    <w:p w14:paraId="1E442A95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1012B">
        <w:rPr>
          <w:rFonts w:ascii="Calibri" w:eastAsia="Times New Roman" w:hAnsi="Calibri" w:cs="Calibri"/>
          <w:color w:val="151A1E"/>
        </w:rPr>
        <w:t xml:space="preserve">Today, the European Insurance and Occupational Pensions Authority (EIOPA) published updated representative portfolios that will </w:t>
      </w:r>
      <w:r w:rsidRPr="00597008">
        <w:rPr>
          <w:rFonts w:ascii="Calibri" w:eastAsia="Times New Roman" w:hAnsi="Calibri" w:cs="Calibri"/>
          <w:color w:val="151A1E"/>
          <w:highlight w:val="darkGray"/>
        </w:rPr>
        <w:t>be used for calculation of the volatility adjustments (VA) to the relevant risk-free interest rate term structures for Solvency II</w:t>
      </w:r>
      <w:r w:rsidRPr="0041012B">
        <w:rPr>
          <w:rFonts w:ascii="Calibri" w:eastAsia="Times New Roman" w:hAnsi="Calibri" w:cs="Calibri"/>
          <w:color w:val="151A1E"/>
        </w:rPr>
        <w:t>.</w:t>
      </w:r>
    </w:p>
    <w:p w14:paraId="382268DA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1012B">
        <w:rPr>
          <w:rFonts w:ascii="Calibri" w:eastAsia="Times New Roman" w:hAnsi="Calibri" w:cs="Calibri"/>
          <w:color w:val="151A1E"/>
        </w:rPr>
        <w:t xml:space="preserve">EIOPA will start using these updated representative portfolios </w:t>
      </w:r>
      <w:r w:rsidRPr="00597008">
        <w:rPr>
          <w:rFonts w:ascii="Calibri" w:eastAsia="Times New Roman" w:hAnsi="Calibri" w:cs="Calibri"/>
          <w:color w:val="151A1E"/>
          <w:highlight w:val="darkGray"/>
        </w:rPr>
        <w:t>for the calculation of the VA end</w:t>
      </w:r>
      <w:r w:rsidRPr="0041012B">
        <w:rPr>
          <w:rFonts w:ascii="Calibri" w:eastAsia="Times New Roman" w:hAnsi="Calibri" w:cs="Calibri"/>
          <w:color w:val="151A1E"/>
        </w:rPr>
        <w:t xml:space="preserve"> of March 2020, which will be published at the beginning of April 2020.</w:t>
      </w:r>
    </w:p>
    <w:p w14:paraId="1B1D3B0E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597008">
        <w:rPr>
          <w:rFonts w:ascii="Calibri" w:eastAsia="Times New Roman" w:hAnsi="Calibri" w:cs="Calibri"/>
          <w:color w:val="151A1E"/>
          <w:highlight w:val="yellow"/>
        </w:rPr>
        <w:t>EIOPA publishes the updated representative portfolios now, i.e. three months in advance in order to allow (re)insurers sufficient time to prepare for this change.</w:t>
      </w:r>
    </w:p>
    <w:p w14:paraId="4B6F42FB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1012B">
        <w:rPr>
          <w:rFonts w:ascii="Calibri" w:eastAsia="Times New Roman" w:hAnsi="Calibri" w:cs="Calibri"/>
          <w:color w:val="151A1E"/>
        </w:rPr>
        <w:t xml:space="preserve">The updated portfolios are based on the end-of-2018 annual reporting templates as reported by European (re)insurance companies to their national supervisory authorities. </w:t>
      </w:r>
      <w:r w:rsidRPr="00597008">
        <w:rPr>
          <w:rFonts w:ascii="Calibri" w:eastAsia="Times New Roman" w:hAnsi="Calibri" w:cs="Calibri"/>
          <w:color w:val="151A1E"/>
          <w:highlight w:val="lightGray"/>
        </w:rPr>
        <w:t>The updated portfolios enable more accurate reflection of the impact of market volatility under the Solvency II framework.</w:t>
      </w:r>
    </w:p>
    <w:p w14:paraId="0669682F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597008">
        <w:rPr>
          <w:rFonts w:ascii="Calibri" w:eastAsia="Times New Roman" w:hAnsi="Calibri" w:cs="Calibri"/>
          <w:color w:val="151A1E"/>
          <w:highlight w:val="yellow"/>
        </w:rPr>
        <w:t>EIOPA is revising the representative portfolios on a yearly basis with the next update being scheduled for the end of 2020 according to art. 194 of the Technical Documentation.</w:t>
      </w:r>
      <w:r w:rsidRPr="0041012B">
        <w:rPr>
          <w:rFonts w:ascii="Calibri" w:eastAsia="Times New Roman" w:hAnsi="Calibri" w:cs="Calibri"/>
          <w:color w:val="151A1E"/>
        </w:rPr>
        <w:t xml:space="preserve">  </w:t>
      </w:r>
    </w:p>
    <w:p w14:paraId="14CE941D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41012B">
        <w:rPr>
          <w:rFonts w:ascii="Calibri" w:eastAsia="Times New Roman" w:hAnsi="Calibri" w:cs="Calibri"/>
          <w:color w:val="151A1E"/>
        </w:rPr>
        <w:t>Background</w:t>
      </w:r>
    </w:p>
    <w:p w14:paraId="5414E97C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r w:rsidRPr="00597008">
        <w:rPr>
          <w:rFonts w:ascii="Calibri" w:eastAsia="Times New Roman" w:hAnsi="Calibri" w:cs="Calibri"/>
          <w:color w:val="151A1E"/>
          <w:highlight w:val="yellow"/>
        </w:rPr>
        <w:t>The volatility adjustments are derived from spreads of representative portfolios of assets. The representative portfolios are derived in accordance with Article 49 of Commission Delegated Regulation (EU) 2015/35</w:t>
      </w:r>
      <w:r w:rsidRPr="0041012B">
        <w:rPr>
          <w:rFonts w:ascii="Calibri" w:eastAsia="Times New Roman" w:hAnsi="Calibri" w:cs="Calibri"/>
          <w:color w:val="151A1E"/>
        </w:rPr>
        <w:t>.</w:t>
      </w:r>
    </w:p>
    <w:p w14:paraId="414E28CB" w14:textId="77777777" w:rsidR="0041012B" w:rsidRPr="0041012B" w:rsidRDefault="0041012B" w:rsidP="0041012B">
      <w:pPr>
        <w:spacing w:after="100" w:afterAutospacing="1"/>
        <w:rPr>
          <w:rFonts w:ascii="Calibri" w:eastAsia="Times New Roman" w:hAnsi="Calibri" w:cs="Calibri"/>
          <w:color w:val="151A1E"/>
        </w:rPr>
      </w:pPr>
      <w:bookmarkStart w:id="0" w:name="_GoBack"/>
      <w:bookmarkEnd w:id="0"/>
      <w:r w:rsidRPr="00597008">
        <w:rPr>
          <w:rFonts w:ascii="Calibri" w:eastAsia="Times New Roman" w:hAnsi="Calibri" w:cs="Calibri"/>
          <w:color w:val="151A1E"/>
          <w:highlight w:val="darkGray"/>
        </w:rPr>
        <w:t xml:space="preserve">The volatility adjustment is a measure to ensure the appropriate treatment of insurance products with long-term guarantees under Solvency II. (Re)insurers are allowed to adjust the RFR to mitigate the effect of short-term volatility of bond spreads on their solvency position. In that way, the volatility adjustment prevents pro-cyclical investment </w:t>
      </w:r>
      <w:proofErr w:type="spellStart"/>
      <w:r w:rsidRPr="00597008">
        <w:rPr>
          <w:rFonts w:ascii="Calibri" w:eastAsia="Times New Roman" w:hAnsi="Calibri" w:cs="Calibri"/>
          <w:color w:val="151A1E"/>
          <w:highlight w:val="darkGray"/>
        </w:rPr>
        <w:t>behaviour</w:t>
      </w:r>
      <w:proofErr w:type="spellEnd"/>
      <w:r w:rsidRPr="00597008">
        <w:rPr>
          <w:rFonts w:ascii="Calibri" w:eastAsia="Times New Roman" w:hAnsi="Calibri" w:cs="Calibri"/>
          <w:color w:val="151A1E"/>
          <w:highlight w:val="darkGray"/>
        </w:rPr>
        <w:t xml:space="preserve"> of (re)insurers.</w:t>
      </w:r>
    </w:p>
    <w:p w14:paraId="48F72CAA" w14:textId="77777777" w:rsidR="00BE080D" w:rsidRDefault="00BE080D"/>
    <w:sectPr w:rsidR="00BE080D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C8D"/>
    <w:rsid w:val="0041012B"/>
    <w:rsid w:val="00453EED"/>
    <w:rsid w:val="00597008"/>
    <w:rsid w:val="00BE080D"/>
    <w:rsid w:val="00CC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3703E"/>
  <w14:defaultImageDpi w14:val="32767"/>
  <w15:chartTrackingRefBased/>
  <w15:docId w15:val="{C7E08CD9-15FB-0D43-8E65-374AC682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012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41012B"/>
  </w:style>
  <w:style w:type="paragraph" w:styleId="NormalWeb">
    <w:name w:val="Normal (Web)"/>
    <w:basedOn w:val="Normal"/>
    <w:uiPriority w:val="99"/>
    <w:semiHidden/>
    <w:unhideWhenUsed/>
    <w:rsid w:val="004101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101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26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151A1E"/>
                      </w:divBdr>
                      <w:divsChild>
                        <w:div w:id="24611574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34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6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650606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1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5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73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19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93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58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0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3</cp:revision>
  <dcterms:created xsi:type="dcterms:W3CDTF">2020-02-17T16:30:00Z</dcterms:created>
  <dcterms:modified xsi:type="dcterms:W3CDTF">2020-04-22T08:05:00Z</dcterms:modified>
</cp:coreProperties>
</file>