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C617" w14:textId="77777777" w:rsidR="003E5CA1" w:rsidRPr="003E5CA1" w:rsidRDefault="003E5CA1" w:rsidP="003E5CA1">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3E5CA1">
        <w:rPr>
          <w:rFonts w:ascii="FFKievitStdExtraBold" w:eastAsia="Times New Roman" w:hAnsi="FFKievitStdExtraBold" w:cs="Calibri"/>
          <w:color w:val="151A1E"/>
          <w:kern w:val="36"/>
          <w:sz w:val="48"/>
          <w:szCs w:val="48"/>
        </w:rPr>
        <w:t>ESAs launch consultation on technical standards on the reporting of intra-group transactions and risk concentration for Financial Conglomerates </w:t>
      </w:r>
    </w:p>
    <w:p w14:paraId="51C05DEF" w14:textId="77777777" w:rsidR="003E5CA1" w:rsidRPr="003E5CA1" w:rsidRDefault="003E5CA1" w:rsidP="003E5CA1">
      <w:pPr>
        <w:rPr>
          <w:rFonts w:ascii="FFKievitStdExtraBold" w:eastAsia="Times New Roman" w:hAnsi="FFKievitStdExtraBold" w:cs="Calibri"/>
          <w:caps/>
          <w:color w:val="151A1E"/>
        </w:rPr>
      </w:pPr>
      <w:r w:rsidRPr="003E5CA1">
        <w:rPr>
          <w:rFonts w:ascii="FFKievitStdExtraBold" w:eastAsia="Times New Roman" w:hAnsi="FFKievitStdExtraBold" w:cs="Calibri"/>
          <w:caps/>
          <w:color w:val="151A1E"/>
        </w:rPr>
        <w:t>NEWS</w:t>
      </w:r>
    </w:p>
    <w:p w14:paraId="5BE08425" w14:textId="77777777" w:rsidR="003E5CA1" w:rsidRPr="003E5CA1" w:rsidRDefault="003E5CA1" w:rsidP="003E5CA1">
      <w:pPr>
        <w:rPr>
          <w:rFonts w:ascii="Calibri" w:eastAsia="Times New Roman" w:hAnsi="Calibri" w:cs="Calibri"/>
          <w:color w:val="151A1E"/>
        </w:rPr>
      </w:pPr>
      <w:r w:rsidRPr="003E5CA1">
        <w:rPr>
          <w:rFonts w:ascii="Calibri" w:eastAsia="Times New Roman" w:hAnsi="Calibri" w:cs="Calibri"/>
          <w:color w:val="151A1E"/>
        </w:rPr>
        <w:t> </w:t>
      </w:r>
    </w:p>
    <w:p w14:paraId="4F3A75FA" w14:textId="77777777" w:rsidR="003E5CA1" w:rsidRPr="003E5CA1" w:rsidRDefault="003E5CA1" w:rsidP="003E5CA1">
      <w:pPr>
        <w:rPr>
          <w:rFonts w:ascii="Calibri" w:eastAsia="Times New Roman" w:hAnsi="Calibri" w:cs="Calibri"/>
          <w:caps/>
          <w:color w:val="151A1E"/>
        </w:rPr>
      </w:pPr>
      <w:r w:rsidRPr="003E5CA1">
        <w:rPr>
          <w:rFonts w:ascii="Calibri" w:eastAsia="Times New Roman" w:hAnsi="Calibri" w:cs="Calibri"/>
          <w:caps/>
          <w:color w:val="151A1E"/>
        </w:rPr>
        <w:t>DATE:</w:t>
      </w:r>
    </w:p>
    <w:p w14:paraId="10CCDF4D" w14:textId="77777777" w:rsidR="003E5CA1" w:rsidRPr="003E5CA1" w:rsidRDefault="003E5CA1" w:rsidP="003E5CA1">
      <w:pPr>
        <w:rPr>
          <w:rFonts w:ascii="Calibri" w:eastAsia="Times New Roman" w:hAnsi="Calibri" w:cs="Calibri"/>
          <w:color w:val="151A1E"/>
        </w:rPr>
      </w:pPr>
      <w:r w:rsidRPr="003E5CA1">
        <w:rPr>
          <w:rFonts w:ascii="Calibri" w:eastAsia="Times New Roman" w:hAnsi="Calibri" w:cs="Calibri"/>
          <w:color w:val="151A1E"/>
        </w:rPr>
        <w:t> </w:t>
      </w:r>
    </w:p>
    <w:p w14:paraId="1E9F3A88" w14:textId="77777777" w:rsidR="003E5CA1" w:rsidRPr="003E5CA1" w:rsidRDefault="003E5CA1" w:rsidP="003E5CA1">
      <w:pPr>
        <w:rPr>
          <w:rFonts w:ascii="FFKievitStdExtraBold" w:eastAsia="Times New Roman" w:hAnsi="FFKievitStdExtraBold" w:cs="Calibri"/>
          <w:color w:val="151A1E"/>
        </w:rPr>
      </w:pPr>
      <w:r w:rsidRPr="003E5CA1">
        <w:rPr>
          <w:rFonts w:ascii="FFKievitStdExtraBold" w:eastAsia="Times New Roman" w:hAnsi="FFKievitStdExtraBold" w:cs="Calibri"/>
          <w:color w:val="151A1E"/>
        </w:rPr>
        <w:t>22 May 2019</w:t>
      </w:r>
    </w:p>
    <w:p w14:paraId="5D9537AA" w14:textId="77777777" w:rsidR="003E5CA1" w:rsidRPr="003E5CA1" w:rsidRDefault="003E5CA1" w:rsidP="003E5CA1">
      <w:pPr>
        <w:spacing w:after="100" w:afterAutospacing="1"/>
        <w:rPr>
          <w:rFonts w:ascii="Calibri" w:eastAsia="Times New Roman" w:hAnsi="Calibri" w:cs="Calibri"/>
          <w:color w:val="151A1E"/>
        </w:rPr>
      </w:pPr>
      <w:r w:rsidRPr="003E5CA1">
        <w:rPr>
          <w:rFonts w:ascii="Calibri" w:eastAsia="Times New Roman" w:hAnsi="Calibri" w:cs="Calibri"/>
          <w:color w:val="151A1E"/>
        </w:rPr>
        <w:t>The three European Supervisory Authorities, the European Banking Authority (EBA), the European Insurance and Occupational Pensions Authority (EIOPA) and the European Securities Markets Supervisory Authority (ESMA) launched today a consultation on draft Implementing Technical Standards (ITSs) on the reporting of intra-group transactions and risk concentration for Financial Conglomerates. The draft technical standards were developed based on the mandate included in Financial Conglomerates Directive (FICOD). The consultation runs until 15 August 2019.</w:t>
      </w:r>
    </w:p>
    <w:p w14:paraId="408560CE" w14:textId="77777777" w:rsidR="003E5CA1" w:rsidRPr="003E5CA1" w:rsidRDefault="003E5CA1" w:rsidP="003E5CA1">
      <w:pPr>
        <w:spacing w:after="100" w:afterAutospacing="1"/>
        <w:rPr>
          <w:rFonts w:ascii="Calibri" w:eastAsia="Times New Roman" w:hAnsi="Calibri" w:cs="Calibri"/>
          <w:color w:val="151A1E"/>
        </w:rPr>
      </w:pPr>
      <w:r w:rsidRPr="003E5CA1">
        <w:rPr>
          <w:rFonts w:ascii="Calibri" w:eastAsia="Times New Roman" w:hAnsi="Calibri" w:cs="Calibri"/>
          <w:color w:val="151A1E"/>
        </w:rPr>
        <w:t xml:space="preserve">The draft technical standards aim at offering a single framework of requirements for the reporting of intra-group transactions and risk concentration by financial conglomerates subject to supplementary supervision in the European Union. The ITSs provide the foundation for the </w:t>
      </w:r>
      <w:proofErr w:type="spellStart"/>
      <w:r w:rsidRPr="003E5CA1">
        <w:rPr>
          <w:rFonts w:ascii="Calibri" w:eastAsia="Times New Roman" w:hAnsi="Calibri" w:cs="Calibri"/>
          <w:color w:val="151A1E"/>
        </w:rPr>
        <w:t>harmonisation</w:t>
      </w:r>
      <w:proofErr w:type="spellEnd"/>
      <w:r w:rsidRPr="003E5CA1">
        <w:rPr>
          <w:rFonts w:ascii="Calibri" w:eastAsia="Times New Roman" w:hAnsi="Calibri" w:cs="Calibri"/>
          <w:color w:val="151A1E"/>
        </w:rPr>
        <w:t xml:space="preserve"> of reporting, with one single set of templates and a single embedded dictionary using common definitions and a single set of instructions to fill in the templates. The ITSs will help the coordinators and other relevant competent authorities to identify relevant issues and exchange information more efficiently, thereby reducing costs and fostering a level playing field across financial conglomerates in the European Union. </w:t>
      </w:r>
    </w:p>
    <w:p w14:paraId="57DF95D4" w14:textId="77777777" w:rsidR="003E5CA1" w:rsidRPr="00EB2AA9" w:rsidRDefault="003E5CA1" w:rsidP="003E5CA1">
      <w:pPr>
        <w:spacing w:after="100" w:afterAutospacing="1"/>
        <w:outlineLvl w:val="3"/>
        <w:rPr>
          <w:rFonts w:ascii="FFKievitStdExtraBold" w:eastAsia="Times New Roman" w:hAnsi="FFKievitStdExtraBold" w:cs="Calibri"/>
          <w:color w:val="151A1E"/>
          <w:highlight w:val="yellow"/>
        </w:rPr>
      </w:pPr>
      <w:r w:rsidRPr="00EB2AA9">
        <w:rPr>
          <w:rFonts w:ascii="FFKievitStdExtraBold" w:eastAsia="Times New Roman" w:hAnsi="FFKievitStdExtraBold" w:cs="Calibri"/>
          <w:color w:val="151A1E"/>
          <w:highlight w:val="yellow"/>
        </w:rPr>
        <w:t>Consultation process</w:t>
      </w:r>
    </w:p>
    <w:p w14:paraId="3783BB6F" w14:textId="77777777" w:rsidR="003E5CA1" w:rsidRPr="00EB2AA9" w:rsidRDefault="003E5CA1" w:rsidP="003E5CA1">
      <w:pPr>
        <w:spacing w:after="100" w:afterAutospacing="1"/>
        <w:rPr>
          <w:rFonts w:ascii="Calibri" w:eastAsia="Times New Roman" w:hAnsi="Calibri" w:cs="Calibri"/>
          <w:color w:val="151A1E"/>
          <w:highlight w:val="yellow"/>
        </w:rPr>
      </w:pPr>
      <w:r w:rsidRPr="00EB2AA9">
        <w:rPr>
          <w:rFonts w:ascii="Calibri" w:eastAsia="Times New Roman" w:hAnsi="Calibri" w:cs="Calibri"/>
          <w:color w:val="151A1E"/>
          <w:highlight w:val="yellow"/>
        </w:rPr>
        <w:t>For responding to this consultation please see the link under related links. Please note that the deadline for the submission of comments is </w:t>
      </w:r>
      <w:r w:rsidRPr="00EB2AA9">
        <w:rPr>
          <w:rFonts w:ascii="FFKievitStdExtraBold" w:eastAsia="Times New Roman" w:hAnsi="FFKievitStdExtraBold" w:cs="Calibri"/>
          <w:color w:val="151A1E"/>
          <w:highlight w:val="yellow"/>
        </w:rPr>
        <w:t xml:space="preserve">Thursday, 15 August 2019 at 23.59 </w:t>
      </w:r>
      <w:proofErr w:type="spellStart"/>
      <w:r w:rsidRPr="00EB2AA9">
        <w:rPr>
          <w:rFonts w:ascii="FFKievitStdExtraBold" w:eastAsia="Times New Roman" w:hAnsi="FFKievitStdExtraBold" w:cs="Calibri"/>
          <w:color w:val="151A1E"/>
          <w:highlight w:val="yellow"/>
        </w:rPr>
        <w:t>hrs</w:t>
      </w:r>
      <w:proofErr w:type="spellEnd"/>
      <w:r w:rsidRPr="00EB2AA9">
        <w:rPr>
          <w:rFonts w:ascii="FFKievitStdExtraBold" w:eastAsia="Times New Roman" w:hAnsi="FFKievitStdExtraBold" w:cs="Calibri"/>
          <w:color w:val="151A1E"/>
          <w:highlight w:val="yellow"/>
        </w:rPr>
        <w:t xml:space="preserve"> CET</w:t>
      </w:r>
      <w:r w:rsidRPr="00EB2AA9">
        <w:rPr>
          <w:rFonts w:ascii="Calibri" w:eastAsia="Times New Roman" w:hAnsi="Calibri" w:cs="Calibri"/>
          <w:color w:val="151A1E"/>
          <w:highlight w:val="yellow"/>
        </w:rPr>
        <w:t>.</w:t>
      </w:r>
    </w:p>
    <w:p w14:paraId="53BA6DDC" w14:textId="77777777" w:rsidR="003E5CA1" w:rsidRPr="00EB2AA9" w:rsidRDefault="003E5CA1" w:rsidP="003E5CA1">
      <w:pPr>
        <w:spacing w:after="100" w:afterAutospacing="1"/>
        <w:rPr>
          <w:rFonts w:ascii="Calibri" w:eastAsia="Times New Roman" w:hAnsi="Calibri" w:cs="Calibri"/>
          <w:color w:val="151A1E"/>
          <w:highlight w:val="yellow"/>
        </w:rPr>
      </w:pPr>
      <w:r w:rsidRPr="00EB2AA9">
        <w:rPr>
          <w:rFonts w:ascii="Calibri" w:eastAsia="Times New Roman" w:hAnsi="Calibri" w:cs="Calibri"/>
          <w:color w:val="151A1E"/>
          <w:highlight w:val="yellow"/>
        </w:rPr>
        <w:t>All contributions received will be published following the close of the consultation, unless requested otherwise.</w:t>
      </w:r>
    </w:p>
    <w:p w14:paraId="32157746" w14:textId="77777777" w:rsidR="003E5CA1" w:rsidRPr="00EB2AA9" w:rsidRDefault="003E5CA1" w:rsidP="003E5CA1">
      <w:pPr>
        <w:spacing w:after="100" w:afterAutospacing="1"/>
        <w:outlineLvl w:val="3"/>
        <w:rPr>
          <w:rFonts w:ascii="FFKievitStdExtraBold" w:eastAsia="Times New Roman" w:hAnsi="FFKievitStdExtraBold" w:cs="Calibri"/>
          <w:color w:val="151A1E"/>
          <w:highlight w:val="yellow"/>
        </w:rPr>
      </w:pPr>
      <w:r w:rsidRPr="00EB2AA9">
        <w:rPr>
          <w:rFonts w:ascii="FFKievitStdExtraBold" w:eastAsia="Times New Roman" w:hAnsi="FFKievitStdExtraBold" w:cs="Calibri"/>
          <w:color w:val="151A1E"/>
          <w:highlight w:val="yellow"/>
        </w:rPr>
        <w:t>Legal basis</w:t>
      </w:r>
    </w:p>
    <w:p w14:paraId="7C8D96E9" w14:textId="77777777" w:rsidR="003E5CA1" w:rsidRPr="003E5CA1" w:rsidRDefault="003E5CA1" w:rsidP="003E5CA1">
      <w:pPr>
        <w:spacing w:after="100" w:afterAutospacing="1"/>
        <w:rPr>
          <w:rFonts w:ascii="Calibri" w:eastAsia="Times New Roman" w:hAnsi="Calibri" w:cs="Calibri"/>
          <w:color w:val="151A1E"/>
        </w:rPr>
      </w:pPr>
      <w:proofErr w:type="gramStart"/>
      <w:r w:rsidRPr="00EB2AA9">
        <w:rPr>
          <w:rFonts w:ascii="Calibri" w:eastAsia="Times New Roman" w:hAnsi="Calibri" w:cs="Calibri"/>
          <w:color w:val="151A1E"/>
          <w:highlight w:val="yellow"/>
        </w:rPr>
        <w:t>These draft</w:t>
      </w:r>
      <w:proofErr w:type="gramEnd"/>
      <w:r w:rsidRPr="00EB2AA9">
        <w:rPr>
          <w:rFonts w:ascii="Calibri" w:eastAsia="Times New Roman" w:hAnsi="Calibri" w:cs="Calibri"/>
          <w:color w:val="151A1E"/>
          <w:highlight w:val="yellow"/>
        </w:rPr>
        <w:t xml:space="preserve"> ITS have been developed according to the mandate provided in Article 21 a (2b) and (2c) of Directive 2002/87/EC.</w:t>
      </w:r>
      <w:bookmarkStart w:id="0" w:name="_GoBack"/>
      <w:bookmarkEnd w:id="0"/>
    </w:p>
    <w:p w14:paraId="68F1B2C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C0"/>
    <w:rsid w:val="001708C0"/>
    <w:rsid w:val="003E5CA1"/>
    <w:rsid w:val="00453EED"/>
    <w:rsid w:val="00BE080D"/>
    <w:rsid w:val="00EB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5AD4"/>
  <w14:defaultImageDpi w14:val="32767"/>
  <w15:chartTrackingRefBased/>
  <w15:docId w15:val="{9E2F6017-8954-4645-976F-0B0C7772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5CA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E5CA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CA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E5CA1"/>
    <w:rPr>
      <w:rFonts w:ascii="Times New Roman" w:eastAsia="Times New Roman" w:hAnsi="Times New Roman" w:cs="Times New Roman"/>
      <w:b/>
      <w:bCs/>
    </w:rPr>
  </w:style>
  <w:style w:type="character" w:customStyle="1" w:styleId="apple-converted-space">
    <w:name w:val="apple-converted-space"/>
    <w:basedOn w:val="DefaultParagraphFont"/>
    <w:rsid w:val="003E5CA1"/>
  </w:style>
  <w:style w:type="paragraph" w:styleId="NormalWeb">
    <w:name w:val="Normal (Web)"/>
    <w:basedOn w:val="Normal"/>
    <w:uiPriority w:val="99"/>
    <w:semiHidden/>
    <w:unhideWhenUsed/>
    <w:rsid w:val="003E5C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5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580">
      <w:bodyDiv w:val="1"/>
      <w:marLeft w:val="0"/>
      <w:marRight w:val="0"/>
      <w:marTop w:val="0"/>
      <w:marBottom w:val="0"/>
      <w:divBdr>
        <w:top w:val="none" w:sz="0" w:space="0" w:color="auto"/>
        <w:left w:val="none" w:sz="0" w:space="0" w:color="auto"/>
        <w:bottom w:val="none" w:sz="0" w:space="0" w:color="auto"/>
        <w:right w:val="none" w:sz="0" w:space="0" w:color="auto"/>
      </w:divBdr>
      <w:divsChild>
        <w:div w:id="806431889">
          <w:marLeft w:val="0"/>
          <w:marRight w:val="0"/>
          <w:marTop w:val="0"/>
          <w:marBottom w:val="0"/>
          <w:divBdr>
            <w:top w:val="none" w:sz="0" w:space="0" w:color="auto"/>
            <w:left w:val="none" w:sz="0" w:space="0" w:color="auto"/>
            <w:bottom w:val="none" w:sz="0" w:space="0" w:color="auto"/>
            <w:right w:val="none" w:sz="0" w:space="0" w:color="auto"/>
          </w:divBdr>
          <w:divsChild>
            <w:div w:id="1941330976">
              <w:marLeft w:val="0"/>
              <w:marRight w:val="0"/>
              <w:marTop w:val="0"/>
              <w:marBottom w:val="0"/>
              <w:divBdr>
                <w:top w:val="none" w:sz="0" w:space="0" w:color="auto"/>
                <w:left w:val="none" w:sz="0" w:space="0" w:color="auto"/>
                <w:bottom w:val="none" w:sz="0" w:space="0" w:color="auto"/>
                <w:right w:val="none" w:sz="0" w:space="0" w:color="auto"/>
              </w:divBdr>
            </w:div>
            <w:div w:id="697395128">
              <w:marLeft w:val="0"/>
              <w:marRight w:val="0"/>
              <w:marTop w:val="0"/>
              <w:marBottom w:val="0"/>
              <w:divBdr>
                <w:top w:val="none" w:sz="0" w:space="0" w:color="auto"/>
                <w:left w:val="none" w:sz="0" w:space="0" w:color="auto"/>
                <w:bottom w:val="none" w:sz="0" w:space="0" w:color="auto"/>
                <w:right w:val="none" w:sz="0" w:space="0" w:color="auto"/>
              </w:divBdr>
              <w:divsChild>
                <w:div w:id="1677882237">
                  <w:marLeft w:val="0"/>
                  <w:marRight w:val="0"/>
                  <w:marTop w:val="0"/>
                  <w:marBottom w:val="0"/>
                  <w:divBdr>
                    <w:top w:val="none" w:sz="0" w:space="0" w:color="auto"/>
                    <w:left w:val="none" w:sz="0" w:space="0" w:color="auto"/>
                    <w:bottom w:val="none" w:sz="0" w:space="0" w:color="auto"/>
                    <w:right w:val="none" w:sz="0" w:space="0" w:color="auto"/>
                  </w:divBdr>
                  <w:divsChild>
                    <w:div w:id="1370761561">
                      <w:marLeft w:val="0"/>
                      <w:marRight w:val="0"/>
                      <w:marTop w:val="0"/>
                      <w:marBottom w:val="0"/>
                      <w:divBdr>
                        <w:top w:val="none" w:sz="0" w:space="0" w:color="auto"/>
                        <w:left w:val="none" w:sz="0" w:space="0" w:color="auto"/>
                        <w:bottom w:val="none" w:sz="0" w:space="0" w:color="auto"/>
                        <w:right w:val="single" w:sz="6" w:space="0" w:color="151A1E"/>
                      </w:divBdr>
                      <w:divsChild>
                        <w:div w:id="1422683332">
                          <w:marLeft w:val="60"/>
                          <w:marRight w:val="0"/>
                          <w:marTop w:val="0"/>
                          <w:marBottom w:val="0"/>
                          <w:divBdr>
                            <w:top w:val="none" w:sz="0" w:space="0" w:color="auto"/>
                            <w:left w:val="none" w:sz="0" w:space="0" w:color="auto"/>
                            <w:bottom w:val="none" w:sz="0" w:space="0" w:color="auto"/>
                            <w:right w:val="none" w:sz="0" w:space="0" w:color="auto"/>
                          </w:divBdr>
                        </w:div>
                      </w:divsChild>
                    </w:div>
                    <w:div w:id="396976808">
                      <w:marLeft w:val="0"/>
                      <w:marRight w:val="0"/>
                      <w:marTop w:val="0"/>
                      <w:marBottom w:val="0"/>
                      <w:divBdr>
                        <w:top w:val="none" w:sz="0" w:space="0" w:color="auto"/>
                        <w:left w:val="none" w:sz="0" w:space="0" w:color="auto"/>
                        <w:bottom w:val="none" w:sz="0" w:space="0" w:color="auto"/>
                        <w:right w:val="none" w:sz="0" w:space="0" w:color="auto"/>
                      </w:divBdr>
                      <w:divsChild>
                        <w:div w:id="1448352167">
                          <w:marLeft w:val="0"/>
                          <w:marRight w:val="0"/>
                          <w:marTop w:val="0"/>
                          <w:marBottom w:val="0"/>
                          <w:divBdr>
                            <w:top w:val="none" w:sz="0" w:space="0" w:color="auto"/>
                            <w:left w:val="none" w:sz="0" w:space="0" w:color="auto"/>
                            <w:bottom w:val="none" w:sz="0" w:space="0" w:color="auto"/>
                            <w:right w:val="none" w:sz="0" w:space="0" w:color="auto"/>
                          </w:divBdr>
                        </w:div>
                        <w:div w:id="7624596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3267">
          <w:marLeft w:val="0"/>
          <w:marRight w:val="0"/>
          <w:marTop w:val="0"/>
          <w:marBottom w:val="0"/>
          <w:divBdr>
            <w:top w:val="none" w:sz="0" w:space="0" w:color="auto"/>
            <w:left w:val="none" w:sz="0" w:space="0" w:color="auto"/>
            <w:bottom w:val="none" w:sz="0" w:space="0" w:color="auto"/>
            <w:right w:val="none" w:sz="0" w:space="0" w:color="auto"/>
          </w:divBdr>
          <w:divsChild>
            <w:div w:id="941453840">
              <w:marLeft w:val="0"/>
              <w:marRight w:val="0"/>
              <w:marTop w:val="0"/>
              <w:marBottom w:val="0"/>
              <w:divBdr>
                <w:top w:val="none" w:sz="0" w:space="0" w:color="auto"/>
                <w:left w:val="none" w:sz="0" w:space="0" w:color="auto"/>
                <w:bottom w:val="none" w:sz="0" w:space="0" w:color="auto"/>
                <w:right w:val="none" w:sz="0" w:space="0" w:color="auto"/>
              </w:divBdr>
              <w:divsChild>
                <w:div w:id="950014765">
                  <w:marLeft w:val="0"/>
                  <w:marRight w:val="0"/>
                  <w:marTop w:val="0"/>
                  <w:marBottom w:val="0"/>
                  <w:divBdr>
                    <w:top w:val="none" w:sz="0" w:space="0" w:color="auto"/>
                    <w:left w:val="none" w:sz="0" w:space="0" w:color="auto"/>
                    <w:bottom w:val="none" w:sz="0" w:space="0" w:color="auto"/>
                    <w:right w:val="none" w:sz="0" w:space="0" w:color="auto"/>
                  </w:divBdr>
                  <w:divsChild>
                    <w:div w:id="506677104">
                      <w:marLeft w:val="0"/>
                      <w:marRight w:val="0"/>
                      <w:marTop w:val="0"/>
                      <w:marBottom w:val="0"/>
                      <w:divBdr>
                        <w:top w:val="none" w:sz="0" w:space="0" w:color="auto"/>
                        <w:left w:val="none" w:sz="0" w:space="0" w:color="auto"/>
                        <w:bottom w:val="none" w:sz="0" w:space="0" w:color="auto"/>
                        <w:right w:val="none" w:sz="0" w:space="0" w:color="auto"/>
                      </w:divBdr>
                      <w:divsChild>
                        <w:div w:id="1165318067">
                          <w:marLeft w:val="0"/>
                          <w:marRight w:val="0"/>
                          <w:marTop w:val="0"/>
                          <w:marBottom w:val="0"/>
                          <w:divBdr>
                            <w:top w:val="none" w:sz="0" w:space="0" w:color="auto"/>
                            <w:left w:val="none" w:sz="0" w:space="0" w:color="auto"/>
                            <w:bottom w:val="none" w:sz="0" w:space="0" w:color="auto"/>
                            <w:right w:val="none" w:sz="0" w:space="0" w:color="auto"/>
                          </w:divBdr>
                          <w:divsChild>
                            <w:div w:id="1119254451">
                              <w:marLeft w:val="0"/>
                              <w:marRight w:val="0"/>
                              <w:marTop w:val="0"/>
                              <w:marBottom w:val="0"/>
                              <w:divBdr>
                                <w:top w:val="none" w:sz="0" w:space="0" w:color="auto"/>
                                <w:left w:val="none" w:sz="0" w:space="0" w:color="auto"/>
                                <w:bottom w:val="none" w:sz="0" w:space="0" w:color="auto"/>
                                <w:right w:val="none" w:sz="0" w:space="0" w:color="auto"/>
                              </w:divBdr>
                              <w:divsChild>
                                <w:div w:id="11610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2020-02-18T09:45:00Z</dcterms:created>
  <dcterms:modified xsi:type="dcterms:W3CDTF">2020-04-22T10:03:00Z</dcterms:modified>
</cp:coreProperties>
</file>