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AEF6A" w14:textId="77777777" w:rsidR="00EE4902" w:rsidRPr="00EE4902" w:rsidRDefault="00EE4902" w:rsidP="00EE4902">
      <w:pPr>
        <w:shd w:val="clear" w:color="auto" w:fill="FFFFFF"/>
        <w:spacing w:after="100" w:afterAutospacing="1"/>
        <w:outlineLvl w:val="0"/>
        <w:rPr>
          <w:rFonts w:ascii="Calibri" w:eastAsia="Times New Roman" w:hAnsi="Calibri" w:cs="Calibri"/>
          <w:color w:val="151A1E"/>
          <w:kern w:val="36"/>
          <w:sz w:val="48"/>
          <w:szCs w:val="48"/>
        </w:rPr>
      </w:pPr>
      <w:r w:rsidRPr="00FF68AB">
        <w:rPr>
          <w:rFonts w:ascii="Calibri" w:eastAsia="Times New Roman" w:hAnsi="Calibri" w:cs="Calibri"/>
          <w:color w:val="151A1E"/>
          <w:kern w:val="36"/>
          <w:sz w:val="48"/>
          <w:szCs w:val="48"/>
          <w:highlight w:val="yellow"/>
        </w:rPr>
        <w:t>EIOPA consults on</w:t>
      </w:r>
      <w:r w:rsidRPr="00EE4902">
        <w:rPr>
          <w:rFonts w:ascii="Calibri" w:eastAsia="Times New Roman" w:hAnsi="Calibri" w:cs="Calibri"/>
          <w:color w:val="151A1E"/>
          <w:kern w:val="36"/>
          <w:sz w:val="48"/>
          <w:szCs w:val="48"/>
        </w:rPr>
        <w:t xml:space="preserve"> increased proportionality of supervisory reporting and public disclosure </w:t>
      </w:r>
    </w:p>
    <w:p w14:paraId="7E8F87B3" w14:textId="77777777" w:rsidR="00EE4902" w:rsidRPr="00EE4902" w:rsidRDefault="00EE4902" w:rsidP="00EE4902">
      <w:pPr>
        <w:rPr>
          <w:rFonts w:ascii="Calibri" w:eastAsia="Times New Roman" w:hAnsi="Calibri" w:cs="Calibri"/>
          <w:caps/>
          <w:color w:val="151A1E"/>
        </w:rPr>
      </w:pPr>
      <w:r w:rsidRPr="00EE4902">
        <w:rPr>
          <w:rFonts w:ascii="Calibri" w:eastAsia="Times New Roman" w:hAnsi="Calibri" w:cs="Calibri"/>
          <w:caps/>
          <w:color w:val="151A1E"/>
        </w:rPr>
        <w:t>NEWS</w:t>
      </w:r>
    </w:p>
    <w:p w14:paraId="6355E831" w14:textId="77777777" w:rsidR="00EE4902" w:rsidRPr="00EE4902" w:rsidRDefault="00EE4902" w:rsidP="00EE4902">
      <w:pPr>
        <w:rPr>
          <w:rFonts w:ascii="Calibri" w:eastAsia="Times New Roman" w:hAnsi="Calibri" w:cs="Calibri"/>
          <w:color w:val="151A1E"/>
        </w:rPr>
      </w:pPr>
      <w:r w:rsidRPr="00EE4902">
        <w:rPr>
          <w:rFonts w:ascii="Calibri" w:eastAsia="Times New Roman" w:hAnsi="Calibri" w:cs="Calibri"/>
          <w:color w:val="151A1E"/>
        </w:rPr>
        <w:t> </w:t>
      </w:r>
    </w:p>
    <w:p w14:paraId="71B99DE7" w14:textId="77777777" w:rsidR="00EE4902" w:rsidRPr="00EE4902" w:rsidRDefault="00EE4902" w:rsidP="00EE4902">
      <w:pPr>
        <w:rPr>
          <w:rFonts w:ascii="Calibri" w:eastAsia="Times New Roman" w:hAnsi="Calibri" w:cs="Calibri"/>
          <w:caps/>
          <w:color w:val="151A1E"/>
        </w:rPr>
      </w:pPr>
      <w:r w:rsidRPr="00EE4902">
        <w:rPr>
          <w:rFonts w:ascii="Calibri" w:eastAsia="Times New Roman" w:hAnsi="Calibri" w:cs="Calibri"/>
          <w:caps/>
          <w:color w:val="151A1E"/>
        </w:rPr>
        <w:t>DATE:</w:t>
      </w:r>
    </w:p>
    <w:p w14:paraId="78EB9BA7" w14:textId="77777777" w:rsidR="00EE4902" w:rsidRPr="00EE4902" w:rsidRDefault="00EE4902" w:rsidP="00EE4902">
      <w:pPr>
        <w:rPr>
          <w:rFonts w:ascii="Calibri" w:eastAsia="Times New Roman" w:hAnsi="Calibri" w:cs="Calibri"/>
          <w:color w:val="151A1E"/>
        </w:rPr>
      </w:pPr>
      <w:r w:rsidRPr="00EE4902">
        <w:rPr>
          <w:rFonts w:ascii="Calibri" w:eastAsia="Times New Roman" w:hAnsi="Calibri" w:cs="Calibri"/>
          <w:color w:val="151A1E"/>
        </w:rPr>
        <w:t> </w:t>
      </w:r>
    </w:p>
    <w:p w14:paraId="01BF55E0" w14:textId="77777777" w:rsidR="00EE4902" w:rsidRPr="00EE4902" w:rsidRDefault="00EE4902" w:rsidP="00EE4902">
      <w:pPr>
        <w:rPr>
          <w:rFonts w:ascii="Calibri" w:eastAsia="Times New Roman" w:hAnsi="Calibri" w:cs="Calibri"/>
          <w:color w:val="151A1E"/>
        </w:rPr>
      </w:pPr>
      <w:r w:rsidRPr="00EE4902">
        <w:rPr>
          <w:rFonts w:ascii="Calibri" w:eastAsia="Times New Roman" w:hAnsi="Calibri" w:cs="Calibri"/>
          <w:color w:val="151A1E"/>
        </w:rPr>
        <w:t>12 Jul 2019</w:t>
      </w:r>
    </w:p>
    <w:p w14:paraId="244E1DC3" w14:textId="77777777" w:rsidR="00EE4902" w:rsidRPr="00EE4902" w:rsidRDefault="00EE4902" w:rsidP="00EE4902">
      <w:pPr>
        <w:spacing w:after="100" w:afterAutospacing="1"/>
        <w:rPr>
          <w:rFonts w:ascii="Calibri" w:eastAsia="Times New Roman" w:hAnsi="Calibri" w:cs="Calibri"/>
          <w:color w:val="151A1E"/>
        </w:rPr>
      </w:pPr>
      <w:r w:rsidRPr="00FF68AB">
        <w:rPr>
          <w:rFonts w:ascii="Calibri" w:eastAsia="Times New Roman" w:hAnsi="Calibri" w:cs="Calibri"/>
          <w:color w:val="151A1E"/>
          <w:highlight w:val="yellow"/>
        </w:rPr>
        <w:t xml:space="preserve">Today, the European Insurance and Occupational Pension Authority (EIOPA) launched a consultation package on supervisory reporting and public disclosure in the context of its work linked with the 2020 Solvency II Review. EIOPA will be consulting on the review of supervisory reporting and public disclosure in two waves. This consultation is the first wave to respond to the Call for Advice of the European Commission of 11 February 2019 on the part linked with supervisory reporting and public disclosure. </w:t>
      </w:r>
      <w:proofErr w:type="gramStart"/>
      <w:r w:rsidRPr="00FF68AB">
        <w:rPr>
          <w:rFonts w:ascii="Calibri" w:eastAsia="Times New Roman" w:hAnsi="Calibri" w:cs="Calibri"/>
          <w:color w:val="151A1E"/>
          <w:highlight w:val="yellow"/>
        </w:rPr>
        <w:t>Taking into account</w:t>
      </w:r>
      <w:proofErr w:type="gramEnd"/>
      <w:r w:rsidRPr="00FF68AB">
        <w:rPr>
          <w:rFonts w:ascii="Calibri" w:eastAsia="Times New Roman" w:hAnsi="Calibri" w:cs="Calibri"/>
          <w:color w:val="151A1E"/>
          <w:highlight w:val="yellow"/>
        </w:rPr>
        <w:t xml:space="preserve"> stakeholders' feedback to the European Commission's public consultation on fitness check on supervisory reporting, EIOPA is asked to assess:</w:t>
      </w:r>
    </w:p>
    <w:p w14:paraId="63D87BD6" w14:textId="77777777" w:rsidR="00EE4902" w:rsidRPr="00EE4902" w:rsidRDefault="00EE4902" w:rsidP="00EE4902">
      <w:pPr>
        <w:numPr>
          <w:ilvl w:val="0"/>
          <w:numId w:val="1"/>
        </w:numPr>
        <w:spacing w:before="100" w:beforeAutospacing="1"/>
        <w:rPr>
          <w:rFonts w:ascii="Calibri" w:eastAsia="Times New Roman" w:hAnsi="Calibri" w:cs="Calibri"/>
          <w:color w:val="151A1E"/>
        </w:rPr>
      </w:pPr>
      <w:r w:rsidRPr="00EE4902">
        <w:rPr>
          <w:rFonts w:ascii="Calibri" w:eastAsia="Times New Roman" w:hAnsi="Calibri" w:cs="Calibri"/>
          <w:color w:val="151A1E"/>
        </w:rPr>
        <w:t xml:space="preserve">The appropriateness of the requirements related to reporting and disclosure in the light of supervisors and </w:t>
      </w:r>
      <w:proofErr w:type="gramStart"/>
      <w:r w:rsidRPr="00EE4902">
        <w:rPr>
          <w:rFonts w:ascii="Calibri" w:eastAsia="Times New Roman" w:hAnsi="Calibri" w:cs="Calibri"/>
          <w:color w:val="151A1E"/>
        </w:rPr>
        <w:t>other</w:t>
      </w:r>
      <w:proofErr w:type="gramEnd"/>
      <w:r w:rsidRPr="00EE4902">
        <w:rPr>
          <w:rFonts w:ascii="Calibri" w:eastAsia="Times New Roman" w:hAnsi="Calibri" w:cs="Calibri"/>
          <w:color w:val="151A1E"/>
        </w:rPr>
        <w:t xml:space="preserve"> stakeholders' experience</w:t>
      </w:r>
    </w:p>
    <w:p w14:paraId="0313A1DA" w14:textId="77777777" w:rsidR="00EE4902" w:rsidRPr="00EE4902" w:rsidRDefault="00EE4902" w:rsidP="00EE4902">
      <w:pPr>
        <w:numPr>
          <w:ilvl w:val="0"/>
          <w:numId w:val="1"/>
        </w:numPr>
        <w:spacing w:before="100" w:beforeAutospacing="1"/>
        <w:rPr>
          <w:rFonts w:ascii="Calibri" w:eastAsia="Times New Roman" w:hAnsi="Calibri" w:cs="Calibri"/>
          <w:color w:val="151A1E"/>
        </w:rPr>
      </w:pPr>
      <w:r w:rsidRPr="00EE4902">
        <w:rPr>
          <w:rFonts w:ascii="Calibri" w:eastAsia="Times New Roman" w:hAnsi="Calibri" w:cs="Calibri"/>
          <w:color w:val="151A1E"/>
        </w:rPr>
        <w:t>The appropriateness and proportionality of the volume, frequency and deadlines of supervisory reporting and public disclosure</w:t>
      </w:r>
    </w:p>
    <w:p w14:paraId="2334EB42" w14:textId="77777777" w:rsidR="00EE4902" w:rsidRPr="00EE4902" w:rsidRDefault="00EE4902" w:rsidP="00EE4902">
      <w:pPr>
        <w:numPr>
          <w:ilvl w:val="0"/>
          <w:numId w:val="1"/>
        </w:numPr>
        <w:spacing w:before="100" w:beforeAutospacing="1"/>
        <w:rPr>
          <w:rFonts w:ascii="Calibri" w:eastAsia="Times New Roman" w:hAnsi="Calibri" w:cs="Calibri"/>
          <w:color w:val="151A1E"/>
        </w:rPr>
      </w:pPr>
      <w:r w:rsidRPr="00EE4902">
        <w:rPr>
          <w:rFonts w:ascii="Calibri" w:eastAsia="Times New Roman" w:hAnsi="Calibri" w:cs="Calibri"/>
          <w:color w:val="151A1E"/>
        </w:rPr>
        <w:t>The sufficiency of the existing exemption requirements to ensure proportionate application to small undertakings</w:t>
      </w:r>
    </w:p>
    <w:p w14:paraId="40320C42" w14:textId="77777777" w:rsidR="00EE4902" w:rsidRPr="00FF68AB" w:rsidRDefault="00EE4902" w:rsidP="00EE4902">
      <w:pPr>
        <w:spacing w:after="100" w:afterAutospacing="1"/>
        <w:rPr>
          <w:rFonts w:ascii="Calibri" w:eastAsia="Times New Roman" w:hAnsi="Calibri" w:cs="Calibri"/>
          <w:color w:val="151A1E"/>
          <w:highlight w:val="darkGray"/>
        </w:rPr>
      </w:pPr>
      <w:r w:rsidRPr="00FF68AB">
        <w:rPr>
          <w:rFonts w:ascii="Calibri" w:eastAsia="Times New Roman" w:hAnsi="Calibri" w:cs="Calibri"/>
          <w:color w:val="151A1E"/>
          <w:highlight w:val="darkGray"/>
        </w:rPr>
        <w:t>EIOPA is conducting its assessment based on the following key principles: </w:t>
      </w:r>
    </w:p>
    <w:p w14:paraId="5B0D232E" w14:textId="77777777" w:rsidR="00EE4902" w:rsidRPr="00FF68AB" w:rsidRDefault="00EE4902" w:rsidP="00EE4902">
      <w:pPr>
        <w:numPr>
          <w:ilvl w:val="0"/>
          <w:numId w:val="2"/>
        </w:numPr>
        <w:spacing w:before="100" w:beforeAutospacing="1"/>
        <w:rPr>
          <w:rFonts w:ascii="Calibri" w:eastAsia="Times New Roman" w:hAnsi="Calibri" w:cs="Calibri"/>
          <w:color w:val="151A1E"/>
          <w:highlight w:val="darkGray"/>
        </w:rPr>
      </w:pPr>
      <w:r w:rsidRPr="00FF68AB">
        <w:rPr>
          <w:rFonts w:ascii="Calibri" w:eastAsia="Times New Roman" w:hAnsi="Calibri" w:cs="Calibri"/>
          <w:color w:val="151A1E"/>
          <w:highlight w:val="darkGray"/>
        </w:rPr>
        <w:t>Fitness-for-purpose: The information received should be fit for the purpose of the supervisory review process</w:t>
      </w:r>
    </w:p>
    <w:p w14:paraId="220B886F" w14:textId="77777777" w:rsidR="00EE4902" w:rsidRPr="00FF68AB" w:rsidRDefault="00EE4902" w:rsidP="00EE4902">
      <w:pPr>
        <w:numPr>
          <w:ilvl w:val="0"/>
          <w:numId w:val="2"/>
        </w:numPr>
        <w:spacing w:before="100" w:beforeAutospacing="1"/>
        <w:rPr>
          <w:rFonts w:ascii="Calibri" w:eastAsia="Times New Roman" w:hAnsi="Calibri" w:cs="Calibri"/>
          <w:color w:val="151A1E"/>
          <w:highlight w:val="darkGray"/>
        </w:rPr>
      </w:pPr>
      <w:r w:rsidRPr="00FF68AB">
        <w:rPr>
          <w:rFonts w:ascii="Calibri" w:eastAsia="Times New Roman" w:hAnsi="Calibri" w:cs="Calibri"/>
          <w:color w:val="151A1E"/>
          <w:highlight w:val="darkGray"/>
        </w:rPr>
        <w:t>Proportionality: The supervisory reporting and public disclosure should – as all Solvency II requirements – be proportionate to the nature, scale and complexity of the risk undertakings face or may face </w:t>
      </w:r>
    </w:p>
    <w:p w14:paraId="2F7DD34E" w14:textId="77777777" w:rsidR="00EE4902" w:rsidRPr="00FF68AB" w:rsidRDefault="00EE4902" w:rsidP="00EE4902">
      <w:pPr>
        <w:numPr>
          <w:ilvl w:val="0"/>
          <w:numId w:val="2"/>
        </w:numPr>
        <w:spacing w:before="100" w:beforeAutospacing="1"/>
        <w:rPr>
          <w:rFonts w:ascii="Calibri" w:eastAsia="Times New Roman" w:hAnsi="Calibri" w:cs="Calibri"/>
          <w:color w:val="151A1E"/>
          <w:highlight w:val="darkGray"/>
        </w:rPr>
      </w:pPr>
      <w:r w:rsidRPr="00FF68AB">
        <w:rPr>
          <w:rFonts w:ascii="Calibri" w:eastAsia="Times New Roman" w:hAnsi="Calibri" w:cs="Calibri"/>
          <w:color w:val="151A1E"/>
          <w:highlight w:val="darkGray"/>
        </w:rPr>
        <w:t xml:space="preserve">Data </w:t>
      </w:r>
      <w:proofErr w:type="spellStart"/>
      <w:r w:rsidRPr="00FF68AB">
        <w:rPr>
          <w:rFonts w:ascii="Calibri" w:eastAsia="Times New Roman" w:hAnsi="Calibri" w:cs="Calibri"/>
          <w:color w:val="151A1E"/>
          <w:highlight w:val="darkGray"/>
        </w:rPr>
        <w:t>standardisation</w:t>
      </w:r>
      <w:proofErr w:type="spellEnd"/>
      <w:r w:rsidRPr="00FF68AB">
        <w:rPr>
          <w:rFonts w:ascii="Calibri" w:eastAsia="Times New Roman" w:hAnsi="Calibri" w:cs="Calibri"/>
          <w:color w:val="151A1E"/>
          <w:highlight w:val="darkGray"/>
        </w:rPr>
        <w:t xml:space="preserve">: The data requested under Solvency II should as much as possible use </w:t>
      </w:r>
      <w:proofErr w:type="spellStart"/>
      <w:r w:rsidRPr="00FF68AB">
        <w:rPr>
          <w:rFonts w:ascii="Calibri" w:eastAsia="Times New Roman" w:hAnsi="Calibri" w:cs="Calibri"/>
          <w:color w:val="151A1E"/>
          <w:highlight w:val="darkGray"/>
        </w:rPr>
        <w:t>standardised</w:t>
      </w:r>
      <w:proofErr w:type="spellEnd"/>
      <w:r w:rsidRPr="00FF68AB">
        <w:rPr>
          <w:rFonts w:ascii="Calibri" w:eastAsia="Times New Roman" w:hAnsi="Calibri" w:cs="Calibri"/>
          <w:color w:val="151A1E"/>
          <w:highlight w:val="darkGray"/>
        </w:rPr>
        <w:t xml:space="preserve"> codes such as Legal Entity Identifier (LEI)</w:t>
      </w:r>
    </w:p>
    <w:p w14:paraId="09202E08" w14:textId="77777777" w:rsidR="00EE4902" w:rsidRPr="00FF68AB" w:rsidRDefault="00EE4902" w:rsidP="00EE4902">
      <w:pPr>
        <w:numPr>
          <w:ilvl w:val="0"/>
          <w:numId w:val="2"/>
        </w:numPr>
        <w:spacing w:before="100" w:beforeAutospacing="1"/>
        <w:rPr>
          <w:rFonts w:ascii="Calibri" w:eastAsia="Times New Roman" w:hAnsi="Calibri" w:cs="Calibri"/>
          <w:color w:val="151A1E"/>
          <w:highlight w:val="darkGray"/>
        </w:rPr>
      </w:pPr>
      <w:r w:rsidRPr="00FF68AB">
        <w:rPr>
          <w:rFonts w:ascii="Calibri" w:eastAsia="Times New Roman" w:hAnsi="Calibri" w:cs="Calibri"/>
          <w:color w:val="151A1E"/>
          <w:highlight w:val="darkGray"/>
        </w:rPr>
        <w:t xml:space="preserve">Consistency between reporting frameworks within the financial </w:t>
      </w:r>
      <w:proofErr w:type="spellStart"/>
      <w:proofErr w:type="gramStart"/>
      <w:r w:rsidRPr="00FF68AB">
        <w:rPr>
          <w:rFonts w:ascii="Calibri" w:eastAsia="Times New Roman" w:hAnsi="Calibri" w:cs="Calibri"/>
          <w:color w:val="151A1E"/>
          <w:highlight w:val="darkGray"/>
        </w:rPr>
        <w:t>sector:Solvency</w:t>
      </w:r>
      <w:proofErr w:type="spellEnd"/>
      <w:proofErr w:type="gramEnd"/>
      <w:r w:rsidRPr="00FF68AB">
        <w:rPr>
          <w:rFonts w:ascii="Calibri" w:eastAsia="Times New Roman" w:hAnsi="Calibri" w:cs="Calibri"/>
          <w:color w:val="151A1E"/>
          <w:highlight w:val="darkGray"/>
        </w:rPr>
        <w:t xml:space="preserve"> II should be consistent as much as possible with other reporting frameworks</w:t>
      </w:r>
    </w:p>
    <w:p w14:paraId="3292A274" w14:textId="77777777" w:rsidR="00EE4902" w:rsidRPr="00EE4902" w:rsidRDefault="00EE4902" w:rsidP="00EE4902">
      <w:pPr>
        <w:spacing w:after="100" w:afterAutospacing="1"/>
        <w:rPr>
          <w:rFonts w:ascii="Calibri" w:eastAsia="Times New Roman" w:hAnsi="Calibri" w:cs="Calibri"/>
          <w:color w:val="151A1E"/>
        </w:rPr>
      </w:pPr>
      <w:bookmarkStart w:id="0" w:name="_GoBack"/>
      <w:bookmarkEnd w:id="0"/>
      <w:r w:rsidRPr="00EE4902">
        <w:rPr>
          <w:rFonts w:ascii="Calibri" w:eastAsia="Times New Roman" w:hAnsi="Calibri" w:cs="Calibri"/>
          <w:color w:val="151A1E"/>
        </w:rPr>
        <w:t>This first consultation covers the following areas: </w:t>
      </w:r>
    </w:p>
    <w:p w14:paraId="3E6F02CC" w14:textId="77777777" w:rsidR="00EE4902" w:rsidRPr="00EE4902" w:rsidRDefault="00EE4902" w:rsidP="00EE4902">
      <w:pPr>
        <w:numPr>
          <w:ilvl w:val="0"/>
          <w:numId w:val="3"/>
        </w:numPr>
        <w:spacing w:before="100" w:beforeAutospacing="1"/>
        <w:rPr>
          <w:rFonts w:ascii="Calibri" w:eastAsia="Times New Roman" w:hAnsi="Calibri" w:cs="Calibri"/>
          <w:color w:val="151A1E"/>
        </w:rPr>
      </w:pPr>
      <w:r w:rsidRPr="00EE4902">
        <w:rPr>
          <w:rFonts w:ascii="Calibri" w:eastAsia="Times New Roman" w:hAnsi="Calibri" w:cs="Calibri"/>
          <w:color w:val="151A1E"/>
        </w:rPr>
        <w:t>General issues on supervisory reporting and public disclosure </w:t>
      </w:r>
    </w:p>
    <w:p w14:paraId="43CB30F7" w14:textId="77777777" w:rsidR="00EE4902" w:rsidRPr="00EE4902" w:rsidRDefault="00EE4902" w:rsidP="00EE4902">
      <w:pPr>
        <w:numPr>
          <w:ilvl w:val="0"/>
          <w:numId w:val="3"/>
        </w:numPr>
        <w:spacing w:before="100" w:beforeAutospacing="1"/>
        <w:rPr>
          <w:rFonts w:ascii="Calibri" w:eastAsia="Times New Roman" w:hAnsi="Calibri" w:cs="Calibri"/>
          <w:color w:val="151A1E"/>
        </w:rPr>
      </w:pPr>
      <w:r w:rsidRPr="00EE4902">
        <w:rPr>
          <w:rFonts w:ascii="Calibri" w:eastAsia="Times New Roman" w:hAnsi="Calibri" w:cs="Calibri"/>
          <w:color w:val="151A1E"/>
        </w:rPr>
        <w:t>Individual Quantitative Reporting Templates (QRTs) and Annexes </w:t>
      </w:r>
    </w:p>
    <w:p w14:paraId="652239F0" w14:textId="77777777" w:rsidR="00EE4902" w:rsidRPr="00EE4902" w:rsidRDefault="00EE4902" w:rsidP="00EE4902">
      <w:pPr>
        <w:numPr>
          <w:ilvl w:val="0"/>
          <w:numId w:val="3"/>
        </w:numPr>
        <w:spacing w:before="100" w:beforeAutospacing="1"/>
        <w:rPr>
          <w:rFonts w:ascii="Calibri" w:eastAsia="Times New Roman" w:hAnsi="Calibri" w:cs="Calibri"/>
          <w:color w:val="151A1E"/>
        </w:rPr>
      </w:pPr>
      <w:r w:rsidRPr="00EE4902">
        <w:rPr>
          <w:rFonts w:ascii="Calibri" w:eastAsia="Times New Roman" w:hAnsi="Calibri" w:cs="Calibri"/>
          <w:color w:val="151A1E"/>
        </w:rPr>
        <w:t>Solvency and Financial Condition Report (SFCR) and Narrative Supervisory Reporting </w:t>
      </w:r>
    </w:p>
    <w:p w14:paraId="6D158D98" w14:textId="77777777" w:rsidR="00EE4902" w:rsidRPr="00EE4902" w:rsidRDefault="00EE4902" w:rsidP="00EE4902">
      <w:pPr>
        <w:numPr>
          <w:ilvl w:val="0"/>
          <w:numId w:val="3"/>
        </w:numPr>
        <w:spacing w:before="100" w:beforeAutospacing="1"/>
        <w:rPr>
          <w:rFonts w:ascii="Calibri" w:eastAsia="Times New Roman" w:hAnsi="Calibri" w:cs="Calibri"/>
          <w:color w:val="151A1E"/>
        </w:rPr>
      </w:pPr>
      <w:r w:rsidRPr="00EE4902">
        <w:rPr>
          <w:rFonts w:ascii="Calibri" w:eastAsia="Times New Roman" w:hAnsi="Calibri" w:cs="Calibri"/>
          <w:color w:val="151A1E"/>
        </w:rPr>
        <w:t>Financial Stability Reporting</w:t>
      </w:r>
    </w:p>
    <w:p w14:paraId="6EE5DF26" w14:textId="77777777" w:rsidR="00EE4902" w:rsidRPr="00EE4902" w:rsidRDefault="00EE4902" w:rsidP="00EE4902">
      <w:pPr>
        <w:spacing w:after="100" w:afterAutospacing="1"/>
        <w:rPr>
          <w:rFonts w:ascii="Calibri" w:eastAsia="Times New Roman" w:hAnsi="Calibri" w:cs="Calibri"/>
          <w:color w:val="151A1E"/>
        </w:rPr>
      </w:pPr>
      <w:r w:rsidRPr="00EE4902">
        <w:rPr>
          <w:rFonts w:ascii="Calibri" w:eastAsia="Times New Roman" w:hAnsi="Calibri" w:cs="Calibri"/>
          <w:color w:val="151A1E"/>
        </w:rPr>
        <w:t>Each proposed policy area includes also an impact assessment. </w:t>
      </w:r>
    </w:p>
    <w:p w14:paraId="03AEBA68" w14:textId="77777777" w:rsidR="00EE4902" w:rsidRPr="00EE4902" w:rsidRDefault="00EE4902" w:rsidP="00EE4902">
      <w:pPr>
        <w:spacing w:after="100" w:afterAutospacing="1"/>
        <w:rPr>
          <w:rFonts w:ascii="Calibri" w:eastAsia="Times New Roman" w:hAnsi="Calibri" w:cs="Calibri"/>
          <w:color w:val="151A1E"/>
        </w:rPr>
      </w:pPr>
      <w:r w:rsidRPr="00EE4902">
        <w:rPr>
          <w:rFonts w:ascii="Calibri" w:eastAsia="Times New Roman" w:hAnsi="Calibri" w:cs="Calibri"/>
          <w:color w:val="151A1E"/>
        </w:rPr>
        <w:lastRenderedPageBreak/>
        <w:t>Based on its principle-based assessment, EIOPA's proposals are among others: </w:t>
      </w:r>
    </w:p>
    <w:p w14:paraId="6131D629" w14:textId="77777777" w:rsidR="00EE4902" w:rsidRPr="00EE4902" w:rsidRDefault="00EE4902" w:rsidP="00EE4902">
      <w:pPr>
        <w:numPr>
          <w:ilvl w:val="0"/>
          <w:numId w:val="4"/>
        </w:numPr>
        <w:spacing w:before="100" w:beforeAutospacing="1"/>
        <w:rPr>
          <w:rFonts w:ascii="Calibri" w:eastAsia="Times New Roman" w:hAnsi="Calibri" w:cs="Calibri"/>
          <w:color w:val="151A1E"/>
        </w:rPr>
      </w:pPr>
      <w:r w:rsidRPr="00EE4902">
        <w:rPr>
          <w:rFonts w:ascii="Calibri" w:eastAsia="Times New Roman" w:hAnsi="Calibri" w:cs="Calibri"/>
          <w:color w:val="151A1E"/>
        </w:rPr>
        <w:t>Keep deadlines for quarterly reporting but extend the deadline for annual reporting by two weeks </w:t>
      </w:r>
    </w:p>
    <w:p w14:paraId="4FF1CD71" w14:textId="77777777" w:rsidR="00EE4902" w:rsidRPr="00EE4902" w:rsidRDefault="00EE4902" w:rsidP="00EE4902">
      <w:pPr>
        <w:numPr>
          <w:ilvl w:val="0"/>
          <w:numId w:val="4"/>
        </w:numPr>
        <w:spacing w:before="100" w:beforeAutospacing="1"/>
        <w:rPr>
          <w:rFonts w:ascii="Calibri" w:eastAsia="Times New Roman" w:hAnsi="Calibri" w:cs="Calibri"/>
          <w:color w:val="151A1E"/>
        </w:rPr>
      </w:pPr>
      <w:r w:rsidRPr="00EE4902">
        <w:rPr>
          <w:rFonts w:ascii="Calibri" w:eastAsia="Times New Roman" w:hAnsi="Calibri" w:cs="Calibri"/>
          <w:color w:val="151A1E"/>
        </w:rPr>
        <w:t>No change to Article 35 of the Solvency II Directive - as already done today, national competent authorities may exempt up until 20 % of the market share</w:t>
      </w:r>
    </w:p>
    <w:p w14:paraId="0A634D22" w14:textId="77777777" w:rsidR="00EE4902" w:rsidRPr="00EE4902" w:rsidRDefault="00EE4902" w:rsidP="00EE4902">
      <w:pPr>
        <w:numPr>
          <w:ilvl w:val="0"/>
          <w:numId w:val="4"/>
        </w:numPr>
        <w:spacing w:before="100" w:beforeAutospacing="1"/>
        <w:rPr>
          <w:rFonts w:ascii="Calibri" w:eastAsia="Times New Roman" w:hAnsi="Calibri" w:cs="Calibri"/>
          <w:color w:val="151A1E"/>
        </w:rPr>
      </w:pPr>
      <w:r w:rsidRPr="00EE4902">
        <w:rPr>
          <w:rFonts w:ascii="Calibri" w:eastAsia="Times New Roman" w:hAnsi="Calibri" w:cs="Calibri"/>
          <w:color w:val="151A1E"/>
        </w:rPr>
        <w:t>Increased proportionality by dividing templates into two categories, core and non-core with risk-based thresholds different for annual or quarterly submissions. The risk-based threshold shall reflect the nature, scale and complexity of the risk exposure of the risk area covered by each template</w:t>
      </w:r>
    </w:p>
    <w:p w14:paraId="1E92C61A" w14:textId="77777777" w:rsidR="00EE4902" w:rsidRPr="00EE4902" w:rsidRDefault="00EE4902" w:rsidP="00EE4902">
      <w:pPr>
        <w:numPr>
          <w:ilvl w:val="0"/>
          <w:numId w:val="4"/>
        </w:numPr>
        <w:spacing w:before="100" w:beforeAutospacing="1"/>
        <w:rPr>
          <w:rFonts w:ascii="Calibri" w:eastAsia="Times New Roman" w:hAnsi="Calibri" w:cs="Calibri"/>
          <w:color w:val="151A1E"/>
        </w:rPr>
      </w:pPr>
      <w:r w:rsidRPr="00EE4902">
        <w:rPr>
          <w:rFonts w:ascii="Calibri" w:eastAsia="Times New Roman" w:hAnsi="Calibri" w:cs="Calibri"/>
          <w:color w:val="151A1E"/>
        </w:rPr>
        <w:t>Deletion and simplification of a number of QRTs both for quarterly and annually reporting </w:t>
      </w:r>
    </w:p>
    <w:p w14:paraId="7FC6A87C" w14:textId="77777777" w:rsidR="00EE4902" w:rsidRPr="00EE4902" w:rsidRDefault="00EE4902" w:rsidP="00EE4902">
      <w:pPr>
        <w:numPr>
          <w:ilvl w:val="0"/>
          <w:numId w:val="4"/>
        </w:numPr>
        <w:spacing w:before="100" w:beforeAutospacing="1"/>
        <w:rPr>
          <w:rFonts w:ascii="Calibri" w:eastAsia="Times New Roman" w:hAnsi="Calibri" w:cs="Calibri"/>
          <w:color w:val="151A1E"/>
        </w:rPr>
      </w:pPr>
      <w:proofErr w:type="spellStart"/>
      <w:r w:rsidRPr="00EE4902">
        <w:rPr>
          <w:rFonts w:ascii="Calibri" w:eastAsia="Times New Roman" w:hAnsi="Calibri" w:cs="Calibri"/>
          <w:color w:val="151A1E"/>
        </w:rPr>
        <w:t>Harmonisation</w:t>
      </w:r>
      <w:proofErr w:type="spellEnd"/>
      <w:r w:rsidRPr="00EE4902">
        <w:rPr>
          <w:rFonts w:ascii="Calibri" w:eastAsia="Times New Roman" w:hAnsi="Calibri" w:cs="Calibri"/>
          <w:color w:val="151A1E"/>
        </w:rPr>
        <w:t xml:space="preserve"> of templates on cross-border information - one template enlarged, which replaces three other templates and templates on Solvency Capital Requirement templates including now internal models reporting</w:t>
      </w:r>
    </w:p>
    <w:p w14:paraId="033AA379" w14:textId="77777777" w:rsidR="00EE4902" w:rsidRPr="00EE4902" w:rsidRDefault="00EE4902" w:rsidP="00EE4902">
      <w:pPr>
        <w:numPr>
          <w:ilvl w:val="0"/>
          <w:numId w:val="4"/>
        </w:numPr>
        <w:spacing w:before="100" w:beforeAutospacing="1"/>
        <w:rPr>
          <w:rFonts w:ascii="Calibri" w:eastAsia="Times New Roman" w:hAnsi="Calibri" w:cs="Calibri"/>
          <w:color w:val="151A1E"/>
        </w:rPr>
      </w:pPr>
      <w:r w:rsidRPr="00EE4902">
        <w:rPr>
          <w:rFonts w:ascii="Calibri" w:eastAsia="Times New Roman" w:hAnsi="Calibri" w:cs="Calibri"/>
          <w:color w:val="151A1E"/>
        </w:rPr>
        <w:t>Creation of new templates to incorporate new information such as on cyber risks and product-by-product information for non-life business</w:t>
      </w:r>
    </w:p>
    <w:p w14:paraId="7B9E0756" w14:textId="77777777" w:rsidR="00EE4902" w:rsidRPr="00EE4902" w:rsidRDefault="00EE4902" w:rsidP="00EE4902">
      <w:pPr>
        <w:numPr>
          <w:ilvl w:val="0"/>
          <w:numId w:val="4"/>
        </w:numPr>
        <w:spacing w:before="100" w:beforeAutospacing="1"/>
        <w:rPr>
          <w:rFonts w:ascii="Calibri" w:eastAsia="Times New Roman" w:hAnsi="Calibri" w:cs="Calibri"/>
          <w:color w:val="151A1E"/>
        </w:rPr>
      </w:pPr>
      <w:r w:rsidRPr="00EE4902">
        <w:rPr>
          <w:rFonts w:ascii="Calibri" w:eastAsia="Times New Roman" w:hAnsi="Calibri" w:cs="Calibri"/>
          <w:color w:val="151A1E"/>
        </w:rPr>
        <w:t>Revision of templates such as the look through approach for collective investment funds and the variation analysis</w:t>
      </w:r>
    </w:p>
    <w:p w14:paraId="788C58CA" w14:textId="77777777" w:rsidR="00EE4902" w:rsidRPr="00EE4902" w:rsidRDefault="00EE4902" w:rsidP="00EE4902">
      <w:pPr>
        <w:numPr>
          <w:ilvl w:val="0"/>
          <w:numId w:val="4"/>
        </w:numPr>
        <w:spacing w:before="100" w:beforeAutospacing="1"/>
        <w:rPr>
          <w:rFonts w:ascii="Calibri" w:eastAsia="Times New Roman" w:hAnsi="Calibri" w:cs="Calibri"/>
          <w:color w:val="151A1E"/>
        </w:rPr>
      </w:pPr>
      <w:r w:rsidRPr="00EE4902">
        <w:rPr>
          <w:rFonts w:ascii="Calibri" w:eastAsia="Times New Roman" w:hAnsi="Calibri" w:cs="Calibri"/>
          <w:color w:val="151A1E"/>
        </w:rPr>
        <w:t>Solvency and Financial Condition Report (SFCR): One report - Two addressees: Improved structure with dedicated sections for policyholders and the professional public</w:t>
      </w:r>
    </w:p>
    <w:p w14:paraId="3B37398A" w14:textId="77777777" w:rsidR="00EE4902" w:rsidRPr="00EE4902" w:rsidRDefault="00EE4902" w:rsidP="00EE4902">
      <w:pPr>
        <w:numPr>
          <w:ilvl w:val="0"/>
          <w:numId w:val="4"/>
        </w:numPr>
        <w:spacing w:before="100" w:beforeAutospacing="1"/>
        <w:rPr>
          <w:rFonts w:ascii="Calibri" w:eastAsia="Times New Roman" w:hAnsi="Calibri" w:cs="Calibri"/>
          <w:color w:val="151A1E"/>
        </w:rPr>
      </w:pPr>
      <w:r w:rsidRPr="00EE4902">
        <w:rPr>
          <w:rFonts w:ascii="Calibri" w:eastAsia="Times New Roman" w:hAnsi="Calibri" w:cs="Calibri"/>
          <w:color w:val="151A1E"/>
        </w:rPr>
        <w:t>For the SFCR for the professional public, the focus should be more quantitative, it should be disclosed in a machine readable and processable format and the structure should be streamlined to improve readability and comparability </w:t>
      </w:r>
    </w:p>
    <w:p w14:paraId="50A73C39" w14:textId="77777777" w:rsidR="00EE4902" w:rsidRPr="00EE4902" w:rsidRDefault="00EE4902" w:rsidP="00EE4902">
      <w:pPr>
        <w:numPr>
          <w:ilvl w:val="0"/>
          <w:numId w:val="4"/>
        </w:numPr>
        <w:spacing w:before="100" w:beforeAutospacing="1"/>
        <w:rPr>
          <w:rFonts w:ascii="Calibri" w:eastAsia="Times New Roman" w:hAnsi="Calibri" w:cs="Calibri"/>
          <w:color w:val="151A1E"/>
        </w:rPr>
      </w:pPr>
      <w:r w:rsidRPr="00EE4902">
        <w:rPr>
          <w:rFonts w:ascii="Calibri" w:eastAsia="Times New Roman" w:hAnsi="Calibri" w:cs="Calibri"/>
          <w:color w:val="151A1E"/>
        </w:rPr>
        <w:t>Within the policyholders section only solo information and only from insurance undertakings with external policyholders is required as well as the information is provided in a simple and in the language of the policyholder</w:t>
      </w:r>
    </w:p>
    <w:p w14:paraId="3ABE2F6C" w14:textId="77777777" w:rsidR="00EE4902" w:rsidRPr="00EE4902" w:rsidRDefault="00EE4902" w:rsidP="00EE4902">
      <w:pPr>
        <w:numPr>
          <w:ilvl w:val="0"/>
          <w:numId w:val="4"/>
        </w:numPr>
        <w:spacing w:before="100" w:beforeAutospacing="1"/>
        <w:rPr>
          <w:rFonts w:ascii="Calibri" w:eastAsia="Times New Roman" w:hAnsi="Calibri" w:cs="Calibri"/>
          <w:color w:val="151A1E"/>
        </w:rPr>
      </w:pPr>
      <w:r w:rsidRPr="00EE4902">
        <w:rPr>
          <w:rFonts w:ascii="Calibri" w:eastAsia="Times New Roman" w:hAnsi="Calibri" w:cs="Calibri"/>
          <w:color w:val="151A1E"/>
        </w:rPr>
        <w:t>For pure captives' undertakings, simplifications of annual reporting and partial exemption from the SFCR</w:t>
      </w:r>
    </w:p>
    <w:p w14:paraId="2D2E1E79" w14:textId="77777777" w:rsidR="00EE4902" w:rsidRPr="00EE4902" w:rsidRDefault="00EE4902" w:rsidP="00EE4902">
      <w:pPr>
        <w:spacing w:after="100" w:afterAutospacing="1"/>
        <w:rPr>
          <w:rFonts w:ascii="Calibri" w:eastAsia="Times New Roman" w:hAnsi="Calibri" w:cs="Calibri"/>
          <w:color w:val="151A1E"/>
        </w:rPr>
      </w:pPr>
      <w:r w:rsidRPr="00EE4902">
        <w:rPr>
          <w:rFonts w:ascii="Calibri" w:eastAsia="Times New Roman" w:hAnsi="Calibri" w:cs="Calibri"/>
          <w:color w:val="151A1E"/>
        </w:rPr>
        <w:t>In addition, EIOPA proposes to introduce an external auditing requirement of the SFCR in the Solvency II Directive limited to the Solvency II Balance-Sheet.</w:t>
      </w:r>
    </w:p>
    <w:p w14:paraId="5D53D26F" w14:textId="77777777" w:rsidR="00EE4902" w:rsidRPr="00EE4902" w:rsidRDefault="00EE4902" w:rsidP="00EE4902">
      <w:pPr>
        <w:numPr>
          <w:ilvl w:val="0"/>
          <w:numId w:val="5"/>
        </w:numPr>
        <w:spacing w:before="100" w:beforeAutospacing="1"/>
        <w:rPr>
          <w:rFonts w:ascii="Calibri" w:eastAsia="Times New Roman" w:hAnsi="Calibri" w:cs="Calibri"/>
          <w:color w:val="151A1E"/>
        </w:rPr>
      </w:pPr>
      <w:r w:rsidRPr="00EE4902">
        <w:rPr>
          <w:rFonts w:ascii="Calibri" w:eastAsia="Times New Roman" w:hAnsi="Calibri" w:cs="Calibri"/>
          <w:color w:val="151A1E"/>
        </w:rPr>
        <w:t>Later in the year, together with the other areas of the 2020 Solvency II Review, EIOPA will launch a second consultation addressing:</w:t>
      </w:r>
    </w:p>
    <w:p w14:paraId="73BCDB4A" w14:textId="77777777" w:rsidR="00EE4902" w:rsidRPr="00EE4902" w:rsidRDefault="00EE4902" w:rsidP="00EE4902">
      <w:pPr>
        <w:numPr>
          <w:ilvl w:val="0"/>
          <w:numId w:val="5"/>
        </w:numPr>
        <w:spacing w:before="100" w:beforeAutospacing="1"/>
        <w:rPr>
          <w:rFonts w:ascii="Calibri" w:eastAsia="Times New Roman" w:hAnsi="Calibri" w:cs="Calibri"/>
          <w:color w:val="151A1E"/>
        </w:rPr>
      </w:pPr>
      <w:r w:rsidRPr="00EE4902">
        <w:rPr>
          <w:rFonts w:ascii="Calibri" w:eastAsia="Times New Roman" w:hAnsi="Calibri" w:cs="Calibri"/>
          <w:color w:val="151A1E"/>
        </w:rPr>
        <w:t>Group Quantitative Reporting Templates (QRTs)</w:t>
      </w:r>
    </w:p>
    <w:p w14:paraId="2F35A676" w14:textId="77777777" w:rsidR="00EE4902" w:rsidRPr="00EE4902" w:rsidRDefault="00EE4902" w:rsidP="00EE4902">
      <w:pPr>
        <w:numPr>
          <w:ilvl w:val="0"/>
          <w:numId w:val="5"/>
        </w:numPr>
        <w:spacing w:before="100" w:beforeAutospacing="1"/>
        <w:rPr>
          <w:rFonts w:ascii="Calibri" w:eastAsia="Times New Roman" w:hAnsi="Calibri" w:cs="Calibri"/>
          <w:color w:val="151A1E"/>
        </w:rPr>
      </w:pPr>
      <w:r w:rsidRPr="00EE4902">
        <w:rPr>
          <w:rFonts w:ascii="Calibri" w:eastAsia="Times New Roman" w:hAnsi="Calibri" w:cs="Calibri"/>
          <w:color w:val="151A1E"/>
        </w:rPr>
        <w:t>Regular Supervisory Reporting (RSR)</w:t>
      </w:r>
    </w:p>
    <w:p w14:paraId="383FCB05" w14:textId="77777777" w:rsidR="00EE4902" w:rsidRPr="00EE4902" w:rsidRDefault="00EE4902" w:rsidP="00EE4902">
      <w:pPr>
        <w:numPr>
          <w:ilvl w:val="0"/>
          <w:numId w:val="5"/>
        </w:numPr>
        <w:spacing w:before="100" w:beforeAutospacing="1"/>
        <w:rPr>
          <w:rFonts w:ascii="Calibri" w:eastAsia="Times New Roman" w:hAnsi="Calibri" w:cs="Calibri"/>
          <w:color w:val="151A1E"/>
        </w:rPr>
      </w:pPr>
      <w:r w:rsidRPr="00EE4902">
        <w:rPr>
          <w:rFonts w:ascii="Calibri" w:eastAsia="Times New Roman" w:hAnsi="Calibri" w:cs="Calibri"/>
          <w:color w:val="151A1E"/>
        </w:rPr>
        <w:t>Technical aspects of the reporting and disclosure processes</w:t>
      </w:r>
    </w:p>
    <w:p w14:paraId="025C439B" w14:textId="77777777" w:rsidR="00EE4902" w:rsidRPr="00EE4902" w:rsidRDefault="00EE4902" w:rsidP="00EE4902">
      <w:pPr>
        <w:numPr>
          <w:ilvl w:val="0"/>
          <w:numId w:val="5"/>
        </w:numPr>
        <w:spacing w:before="100" w:beforeAutospacing="1"/>
        <w:rPr>
          <w:rFonts w:ascii="Calibri" w:eastAsia="Times New Roman" w:hAnsi="Calibri" w:cs="Calibri"/>
          <w:color w:val="151A1E"/>
        </w:rPr>
      </w:pPr>
      <w:r w:rsidRPr="00EE4902">
        <w:rPr>
          <w:rFonts w:ascii="Calibri" w:eastAsia="Times New Roman" w:hAnsi="Calibri" w:cs="Calibri"/>
          <w:color w:val="151A1E"/>
        </w:rPr>
        <w:t>Data quality </w:t>
      </w:r>
    </w:p>
    <w:p w14:paraId="289A3B0C" w14:textId="77777777" w:rsidR="00EE4902" w:rsidRPr="00EE4902" w:rsidRDefault="00EE4902" w:rsidP="00EE4902">
      <w:pPr>
        <w:numPr>
          <w:ilvl w:val="0"/>
          <w:numId w:val="5"/>
        </w:numPr>
        <w:spacing w:before="100" w:beforeAutospacing="1"/>
        <w:rPr>
          <w:rFonts w:ascii="Calibri" w:eastAsia="Times New Roman" w:hAnsi="Calibri" w:cs="Calibri"/>
          <w:color w:val="151A1E"/>
        </w:rPr>
      </w:pPr>
      <w:r w:rsidRPr="00EE4902">
        <w:rPr>
          <w:rFonts w:ascii="Calibri" w:eastAsia="Times New Roman" w:hAnsi="Calibri" w:cs="Calibri"/>
          <w:color w:val="151A1E"/>
        </w:rPr>
        <w:t>Reporting and disclosure linked to other areas of the 2020 Solvency II Review, in particular (but not necessarily only) the Long-Term Guarantee templates</w:t>
      </w:r>
    </w:p>
    <w:p w14:paraId="3FD7F582" w14:textId="77777777" w:rsidR="00EE4902" w:rsidRPr="00EE4902" w:rsidRDefault="00EE4902" w:rsidP="00EE4902">
      <w:pPr>
        <w:spacing w:after="100" w:afterAutospacing="1"/>
        <w:rPr>
          <w:rFonts w:ascii="Calibri" w:eastAsia="Times New Roman" w:hAnsi="Calibri" w:cs="Calibri"/>
          <w:color w:val="151A1E"/>
        </w:rPr>
      </w:pPr>
      <w:r w:rsidRPr="00EE4902">
        <w:rPr>
          <w:rFonts w:ascii="Calibri" w:eastAsia="Times New Roman" w:hAnsi="Calibri" w:cs="Calibri"/>
          <w:color w:val="151A1E"/>
        </w:rPr>
        <w:t>EIOPA's final proposed policy will be included in the 2020 Solvency II Review Opinion. </w:t>
      </w:r>
    </w:p>
    <w:p w14:paraId="5AF244E8" w14:textId="77777777" w:rsidR="00EE4902" w:rsidRPr="00EE4902" w:rsidRDefault="00EE4902" w:rsidP="00EE4902">
      <w:pPr>
        <w:spacing w:after="100" w:afterAutospacing="1"/>
        <w:outlineLvl w:val="3"/>
        <w:rPr>
          <w:rFonts w:ascii="Calibri" w:eastAsia="Times New Roman" w:hAnsi="Calibri" w:cs="Calibri"/>
          <w:color w:val="151A1E"/>
        </w:rPr>
      </w:pPr>
      <w:r w:rsidRPr="00EE4902">
        <w:rPr>
          <w:rFonts w:ascii="Calibri" w:eastAsia="Times New Roman" w:hAnsi="Calibri" w:cs="Calibri"/>
          <w:color w:val="151A1E"/>
        </w:rPr>
        <w:t>Consultation process</w:t>
      </w:r>
    </w:p>
    <w:p w14:paraId="1B4A5977" w14:textId="77777777" w:rsidR="00EE4902" w:rsidRPr="00FF68AB" w:rsidRDefault="00EE4902" w:rsidP="00EE4902">
      <w:pPr>
        <w:spacing w:after="100" w:afterAutospacing="1"/>
        <w:rPr>
          <w:rFonts w:ascii="Calibri" w:eastAsia="Times New Roman" w:hAnsi="Calibri" w:cs="Calibri"/>
          <w:color w:val="151A1E"/>
          <w:highlight w:val="yellow"/>
        </w:rPr>
      </w:pPr>
      <w:r w:rsidRPr="00FF68AB">
        <w:rPr>
          <w:rFonts w:ascii="Calibri" w:eastAsia="Times New Roman" w:hAnsi="Calibri" w:cs="Calibri"/>
          <w:color w:val="151A1E"/>
          <w:highlight w:val="yellow"/>
        </w:rPr>
        <w:lastRenderedPageBreak/>
        <w:t>Stakeholders are invited to respond to this consultation package by using the provided template for comments.</w:t>
      </w:r>
    </w:p>
    <w:p w14:paraId="0E56F443" w14:textId="77777777" w:rsidR="00EE4902" w:rsidRPr="00FF68AB" w:rsidRDefault="00EE4902" w:rsidP="00EE4902">
      <w:pPr>
        <w:spacing w:after="100" w:afterAutospacing="1"/>
        <w:rPr>
          <w:rFonts w:ascii="Calibri" w:eastAsia="Times New Roman" w:hAnsi="Calibri" w:cs="Calibri"/>
          <w:color w:val="151A1E"/>
          <w:highlight w:val="yellow"/>
        </w:rPr>
      </w:pPr>
      <w:r w:rsidRPr="00FF68AB">
        <w:rPr>
          <w:rFonts w:ascii="Calibri" w:eastAsia="Times New Roman" w:hAnsi="Calibri" w:cs="Calibri"/>
          <w:color w:val="151A1E"/>
          <w:highlight w:val="yellow"/>
        </w:rPr>
        <w:t xml:space="preserve">The deadline for submission of feedback is Friday, 18 October 2019 at 23.59 </w:t>
      </w:r>
      <w:proofErr w:type="spellStart"/>
      <w:r w:rsidRPr="00FF68AB">
        <w:rPr>
          <w:rFonts w:ascii="Calibri" w:eastAsia="Times New Roman" w:hAnsi="Calibri" w:cs="Calibri"/>
          <w:color w:val="151A1E"/>
          <w:highlight w:val="yellow"/>
        </w:rPr>
        <w:t>hrs</w:t>
      </w:r>
      <w:proofErr w:type="spellEnd"/>
      <w:r w:rsidRPr="00FF68AB">
        <w:rPr>
          <w:rFonts w:ascii="Calibri" w:eastAsia="Times New Roman" w:hAnsi="Calibri" w:cs="Calibri"/>
          <w:color w:val="151A1E"/>
          <w:highlight w:val="yellow"/>
        </w:rPr>
        <w:t xml:space="preserve"> </w:t>
      </w:r>
      <w:proofErr w:type="spellStart"/>
      <w:r w:rsidRPr="00FF68AB">
        <w:rPr>
          <w:rFonts w:ascii="Calibri" w:eastAsia="Times New Roman" w:hAnsi="Calibri" w:cs="Calibri"/>
          <w:color w:val="151A1E"/>
          <w:highlight w:val="yellow"/>
        </w:rPr>
        <w:t>CETand</w:t>
      </w:r>
      <w:proofErr w:type="spellEnd"/>
      <w:r w:rsidRPr="00FF68AB">
        <w:rPr>
          <w:rFonts w:ascii="Calibri" w:eastAsia="Times New Roman" w:hAnsi="Calibri" w:cs="Calibri"/>
          <w:color w:val="151A1E"/>
          <w:highlight w:val="yellow"/>
        </w:rPr>
        <w:t xml:space="preserve"> has to be sent via email to the following </w:t>
      </w:r>
      <w:hyperlink r:id="rId5" w:history="1">
        <w:r w:rsidRPr="00FF68AB">
          <w:rPr>
            <w:rFonts w:ascii="Calibri" w:eastAsia="Times New Roman" w:hAnsi="Calibri" w:cs="Calibri"/>
            <w:color w:val="355671"/>
            <w:highlight w:val="yellow"/>
            <w:u w:val="single"/>
          </w:rPr>
          <w:t>email</w:t>
        </w:r>
        <w:r w:rsidRPr="00FF68AB">
          <w:rPr>
            <w:rFonts w:ascii="Calibri" w:eastAsia="Times New Roman" w:hAnsi="Calibri" w:cs="Calibri"/>
            <w:color w:val="355671"/>
            <w:highlight w:val="yellow"/>
          </w:rPr>
          <w:t> </w:t>
        </w:r>
      </w:hyperlink>
      <w:r w:rsidRPr="00FF68AB">
        <w:rPr>
          <w:rFonts w:ascii="Calibri" w:eastAsia="Times New Roman" w:hAnsi="Calibri" w:cs="Calibri"/>
          <w:color w:val="151A1E"/>
          <w:highlight w:val="yellow"/>
        </w:rPr>
        <w:t>address. </w:t>
      </w:r>
    </w:p>
    <w:p w14:paraId="38E57380" w14:textId="77777777" w:rsidR="00EE4902" w:rsidRPr="00FF68AB" w:rsidRDefault="00EE4902" w:rsidP="00EE4902">
      <w:pPr>
        <w:spacing w:after="100" w:afterAutospacing="1"/>
        <w:rPr>
          <w:rFonts w:ascii="Calibri" w:eastAsia="Times New Roman" w:hAnsi="Calibri" w:cs="Calibri"/>
          <w:color w:val="151A1E"/>
          <w:highlight w:val="yellow"/>
        </w:rPr>
      </w:pPr>
      <w:r w:rsidRPr="00FF68AB">
        <w:rPr>
          <w:rFonts w:ascii="Calibri" w:eastAsia="Times New Roman" w:hAnsi="Calibri" w:cs="Calibri"/>
          <w:color w:val="151A1E"/>
          <w:highlight w:val="yellow"/>
        </w:rPr>
        <w:t>Contributions either not provided via the template for comments, sent to a different email address or sent after the deadline will not be considered.</w:t>
      </w:r>
    </w:p>
    <w:p w14:paraId="558CC213" w14:textId="77777777" w:rsidR="00EE4902" w:rsidRPr="00EE4902" w:rsidRDefault="00EE4902" w:rsidP="00EE4902">
      <w:pPr>
        <w:spacing w:after="100" w:afterAutospacing="1"/>
        <w:rPr>
          <w:rFonts w:ascii="Calibri" w:eastAsia="Times New Roman" w:hAnsi="Calibri" w:cs="Calibri"/>
          <w:color w:val="151A1E"/>
        </w:rPr>
      </w:pPr>
      <w:r w:rsidRPr="00FF68AB">
        <w:rPr>
          <w:rFonts w:ascii="Calibri" w:eastAsia="Times New Roman" w:hAnsi="Calibri" w:cs="Calibri"/>
          <w:color w:val="151A1E"/>
          <w:highlight w:val="yellow"/>
        </w:rPr>
        <w:t>Unless requested otherwise, all contributions received will be published after the deadline for submission.</w:t>
      </w:r>
    </w:p>
    <w:p w14:paraId="6B0F406E"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F5D4B"/>
    <w:multiLevelType w:val="multilevel"/>
    <w:tmpl w:val="C288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221F9B"/>
    <w:multiLevelType w:val="multilevel"/>
    <w:tmpl w:val="816A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D6791C"/>
    <w:multiLevelType w:val="multilevel"/>
    <w:tmpl w:val="0C54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8B0675"/>
    <w:multiLevelType w:val="multilevel"/>
    <w:tmpl w:val="E30C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9D232E"/>
    <w:multiLevelType w:val="multilevel"/>
    <w:tmpl w:val="948C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A88"/>
    <w:rsid w:val="00453EED"/>
    <w:rsid w:val="00BD5A88"/>
    <w:rsid w:val="00BE080D"/>
    <w:rsid w:val="00EE4902"/>
    <w:rsid w:val="00FF6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8A3317"/>
  <w14:defaultImageDpi w14:val="32767"/>
  <w15:chartTrackingRefBased/>
  <w15:docId w15:val="{D2057D9B-4309-DC4A-97B1-DBFF27497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E490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EE4902"/>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902"/>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EE4902"/>
    <w:rPr>
      <w:rFonts w:ascii="Times New Roman" w:eastAsia="Times New Roman" w:hAnsi="Times New Roman" w:cs="Times New Roman"/>
      <w:b/>
      <w:bCs/>
    </w:rPr>
  </w:style>
  <w:style w:type="character" w:customStyle="1" w:styleId="apple-converted-space">
    <w:name w:val="apple-converted-space"/>
    <w:basedOn w:val="DefaultParagraphFont"/>
    <w:rsid w:val="00EE4902"/>
  </w:style>
  <w:style w:type="paragraph" w:styleId="NormalWeb">
    <w:name w:val="Normal (Web)"/>
    <w:basedOn w:val="Normal"/>
    <w:uiPriority w:val="99"/>
    <w:semiHidden/>
    <w:unhideWhenUsed/>
    <w:rsid w:val="00EE490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E4902"/>
    <w:rPr>
      <w:b/>
      <w:bCs/>
    </w:rPr>
  </w:style>
  <w:style w:type="character" w:styleId="Hyperlink">
    <w:name w:val="Hyperlink"/>
    <w:basedOn w:val="DefaultParagraphFont"/>
    <w:uiPriority w:val="99"/>
    <w:semiHidden/>
    <w:unhideWhenUsed/>
    <w:rsid w:val="00EE49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457059">
      <w:bodyDiv w:val="1"/>
      <w:marLeft w:val="0"/>
      <w:marRight w:val="0"/>
      <w:marTop w:val="0"/>
      <w:marBottom w:val="0"/>
      <w:divBdr>
        <w:top w:val="none" w:sz="0" w:space="0" w:color="auto"/>
        <w:left w:val="none" w:sz="0" w:space="0" w:color="auto"/>
        <w:bottom w:val="none" w:sz="0" w:space="0" w:color="auto"/>
        <w:right w:val="none" w:sz="0" w:space="0" w:color="auto"/>
      </w:divBdr>
      <w:divsChild>
        <w:div w:id="1585650816">
          <w:marLeft w:val="0"/>
          <w:marRight w:val="0"/>
          <w:marTop w:val="0"/>
          <w:marBottom w:val="0"/>
          <w:divBdr>
            <w:top w:val="none" w:sz="0" w:space="0" w:color="auto"/>
            <w:left w:val="none" w:sz="0" w:space="0" w:color="auto"/>
            <w:bottom w:val="none" w:sz="0" w:space="0" w:color="auto"/>
            <w:right w:val="none" w:sz="0" w:space="0" w:color="auto"/>
          </w:divBdr>
          <w:divsChild>
            <w:div w:id="1380131591">
              <w:marLeft w:val="0"/>
              <w:marRight w:val="0"/>
              <w:marTop w:val="0"/>
              <w:marBottom w:val="0"/>
              <w:divBdr>
                <w:top w:val="none" w:sz="0" w:space="0" w:color="auto"/>
                <w:left w:val="none" w:sz="0" w:space="0" w:color="auto"/>
                <w:bottom w:val="none" w:sz="0" w:space="0" w:color="auto"/>
                <w:right w:val="none" w:sz="0" w:space="0" w:color="auto"/>
              </w:divBdr>
            </w:div>
            <w:div w:id="770970985">
              <w:marLeft w:val="0"/>
              <w:marRight w:val="0"/>
              <w:marTop w:val="0"/>
              <w:marBottom w:val="0"/>
              <w:divBdr>
                <w:top w:val="none" w:sz="0" w:space="0" w:color="auto"/>
                <w:left w:val="none" w:sz="0" w:space="0" w:color="auto"/>
                <w:bottom w:val="none" w:sz="0" w:space="0" w:color="auto"/>
                <w:right w:val="none" w:sz="0" w:space="0" w:color="auto"/>
              </w:divBdr>
              <w:divsChild>
                <w:div w:id="857352733">
                  <w:marLeft w:val="0"/>
                  <w:marRight w:val="0"/>
                  <w:marTop w:val="0"/>
                  <w:marBottom w:val="0"/>
                  <w:divBdr>
                    <w:top w:val="none" w:sz="0" w:space="0" w:color="auto"/>
                    <w:left w:val="none" w:sz="0" w:space="0" w:color="auto"/>
                    <w:bottom w:val="none" w:sz="0" w:space="0" w:color="auto"/>
                    <w:right w:val="none" w:sz="0" w:space="0" w:color="auto"/>
                  </w:divBdr>
                  <w:divsChild>
                    <w:div w:id="1906060716">
                      <w:marLeft w:val="0"/>
                      <w:marRight w:val="0"/>
                      <w:marTop w:val="0"/>
                      <w:marBottom w:val="0"/>
                      <w:divBdr>
                        <w:top w:val="none" w:sz="0" w:space="0" w:color="auto"/>
                        <w:left w:val="none" w:sz="0" w:space="0" w:color="auto"/>
                        <w:bottom w:val="none" w:sz="0" w:space="0" w:color="auto"/>
                        <w:right w:val="single" w:sz="6" w:space="0" w:color="151A1E"/>
                      </w:divBdr>
                      <w:divsChild>
                        <w:div w:id="1323001012">
                          <w:marLeft w:val="60"/>
                          <w:marRight w:val="0"/>
                          <w:marTop w:val="0"/>
                          <w:marBottom w:val="0"/>
                          <w:divBdr>
                            <w:top w:val="none" w:sz="0" w:space="0" w:color="auto"/>
                            <w:left w:val="none" w:sz="0" w:space="0" w:color="auto"/>
                            <w:bottom w:val="none" w:sz="0" w:space="0" w:color="auto"/>
                            <w:right w:val="none" w:sz="0" w:space="0" w:color="auto"/>
                          </w:divBdr>
                        </w:div>
                      </w:divsChild>
                    </w:div>
                    <w:div w:id="524252303">
                      <w:marLeft w:val="0"/>
                      <w:marRight w:val="0"/>
                      <w:marTop w:val="0"/>
                      <w:marBottom w:val="0"/>
                      <w:divBdr>
                        <w:top w:val="none" w:sz="0" w:space="0" w:color="auto"/>
                        <w:left w:val="none" w:sz="0" w:space="0" w:color="auto"/>
                        <w:bottom w:val="none" w:sz="0" w:space="0" w:color="auto"/>
                        <w:right w:val="none" w:sz="0" w:space="0" w:color="auto"/>
                      </w:divBdr>
                      <w:divsChild>
                        <w:div w:id="927033746">
                          <w:marLeft w:val="0"/>
                          <w:marRight w:val="0"/>
                          <w:marTop w:val="0"/>
                          <w:marBottom w:val="0"/>
                          <w:divBdr>
                            <w:top w:val="none" w:sz="0" w:space="0" w:color="auto"/>
                            <w:left w:val="none" w:sz="0" w:space="0" w:color="auto"/>
                            <w:bottom w:val="none" w:sz="0" w:space="0" w:color="auto"/>
                            <w:right w:val="none" w:sz="0" w:space="0" w:color="auto"/>
                          </w:divBdr>
                        </w:div>
                        <w:div w:id="53157266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982856">
          <w:marLeft w:val="0"/>
          <w:marRight w:val="0"/>
          <w:marTop w:val="0"/>
          <w:marBottom w:val="0"/>
          <w:divBdr>
            <w:top w:val="none" w:sz="0" w:space="0" w:color="auto"/>
            <w:left w:val="none" w:sz="0" w:space="0" w:color="auto"/>
            <w:bottom w:val="none" w:sz="0" w:space="0" w:color="auto"/>
            <w:right w:val="none" w:sz="0" w:space="0" w:color="auto"/>
          </w:divBdr>
          <w:divsChild>
            <w:div w:id="1797526510">
              <w:marLeft w:val="0"/>
              <w:marRight w:val="0"/>
              <w:marTop w:val="0"/>
              <w:marBottom w:val="0"/>
              <w:divBdr>
                <w:top w:val="none" w:sz="0" w:space="0" w:color="auto"/>
                <w:left w:val="none" w:sz="0" w:space="0" w:color="auto"/>
                <w:bottom w:val="none" w:sz="0" w:space="0" w:color="auto"/>
                <w:right w:val="none" w:sz="0" w:space="0" w:color="auto"/>
              </w:divBdr>
              <w:divsChild>
                <w:div w:id="655763038">
                  <w:marLeft w:val="0"/>
                  <w:marRight w:val="0"/>
                  <w:marTop w:val="0"/>
                  <w:marBottom w:val="0"/>
                  <w:divBdr>
                    <w:top w:val="none" w:sz="0" w:space="0" w:color="auto"/>
                    <w:left w:val="none" w:sz="0" w:space="0" w:color="auto"/>
                    <w:bottom w:val="none" w:sz="0" w:space="0" w:color="auto"/>
                    <w:right w:val="none" w:sz="0" w:space="0" w:color="auto"/>
                  </w:divBdr>
                  <w:divsChild>
                    <w:div w:id="1894384244">
                      <w:marLeft w:val="0"/>
                      <w:marRight w:val="0"/>
                      <w:marTop w:val="0"/>
                      <w:marBottom w:val="0"/>
                      <w:divBdr>
                        <w:top w:val="none" w:sz="0" w:space="0" w:color="auto"/>
                        <w:left w:val="none" w:sz="0" w:space="0" w:color="auto"/>
                        <w:bottom w:val="none" w:sz="0" w:space="0" w:color="auto"/>
                        <w:right w:val="none" w:sz="0" w:space="0" w:color="auto"/>
                      </w:divBdr>
                      <w:divsChild>
                        <w:div w:id="442072516">
                          <w:marLeft w:val="0"/>
                          <w:marRight w:val="0"/>
                          <w:marTop w:val="0"/>
                          <w:marBottom w:val="0"/>
                          <w:divBdr>
                            <w:top w:val="none" w:sz="0" w:space="0" w:color="auto"/>
                            <w:left w:val="none" w:sz="0" w:space="0" w:color="auto"/>
                            <w:bottom w:val="none" w:sz="0" w:space="0" w:color="auto"/>
                            <w:right w:val="none" w:sz="0" w:space="0" w:color="auto"/>
                          </w:divBdr>
                          <w:divsChild>
                            <w:div w:id="2101949341">
                              <w:marLeft w:val="0"/>
                              <w:marRight w:val="0"/>
                              <w:marTop w:val="0"/>
                              <w:marBottom w:val="0"/>
                              <w:divBdr>
                                <w:top w:val="none" w:sz="0" w:space="0" w:color="auto"/>
                                <w:left w:val="none" w:sz="0" w:space="0" w:color="auto"/>
                                <w:bottom w:val="none" w:sz="0" w:space="0" w:color="auto"/>
                                <w:right w:val="none" w:sz="0" w:space="0" w:color="auto"/>
                              </w:divBdr>
                              <w:divsChild>
                                <w:div w:id="9816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P-19-004@eiopa.europa.e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804</Words>
  <Characters>4586</Characters>
  <Application>Microsoft Office Word</Application>
  <DocSecurity>0</DocSecurity>
  <Lines>38</Lines>
  <Paragraphs>10</Paragraphs>
  <ScaleCrop>false</ScaleCrop>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2020-02-18T09:31:00Z</dcterms:created>
  <dcterms:modified xsi:type="dcterms:W3CDTF">2020-04-22T11:37:00Z</dcterms:modified>
</cp:coreProperties>
</file>