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E8396" w14:textId="77777777" w:rsidR="0025441D" w:rsidRPr="0025441D" w:rsidRDefault="0025441D" w:rsidP="0025441D">
      <w:pPr>
        <w:shd w:val="clear" w:color="auto" w:fill="FFFFFF"/>
        <w:spacing w:after="100" w:afterAutospacing="1"/>
        <w:outlineLvl w:val="0"/>
        <w:rPr>
          <w:rFonts w:ascii="FFKievitStdExtraBold" w:eastAsia="Times New Roman" w:hAnsi="FFKievitStdExtraBold" w:cs="Calibri"/>
          <w:color w:val="151A1E"/>
          <w:kern w:val="36"/>
          <w:sz w:val="48"/>
          <w:szCs w:val="48"/>
        </w:rPr>
      </w:pPr>
      <w:r w:rsidRPr="0025441D">
        <w:rPr>
          <w:rFonts w:ascii="FFKievitStdExtraBold" w:eastAsia="Times New Roman" w:hAnsi="FFKievitStdExtraBold" w:cs="Calibri"/>
          <w:color w:val="151A1E"/>
          <w:kern w:val="36"/>
          <w:sz w:val="48"/>
          <w:szCs w:val="48"/>
        </w:rPr>
        <w:t>EIOPA re-publishes the monthly technical information on the Icelandic Krona (ISK) and updates the Solvency II relevant risk-free interest rate term structures -End May 2019 </w:t>
      </w:r>
    </w:p>
    <w:p w14:paraId="3E2AE7A9" w14:textId="77777777" w:rsidR="0025441D" w:rsidRPr="0025441D" w:rsidRDefault="0025441D" w:rsidP="0025441D">
      <w:pPr>
        <w:rPr>
          <w:rFonts w:ascii="FFKievitStdExtraBold" w:eastAsia="Times New Roman" w:hAnsi="FFKievitStdExtraBold" w:cs="Calibri"/>
          <w:caps/>
          <w:color w:val="151A1E"/>
        </w:rPr>
      </w:pPr>
      <w:r w:rsidRPr="0025441D">
        <w:rPr>
          <w:rFonts w:ascii="FFKievitStdExtraBold" w:eastAsia="Times New Roman" w:hAnsi="FFKievitStdExtraBold" w:cs="Calibri"/>
          <w:caps/>
          <w:color w:val="151A1E"/>
        </w:rPr>
        <w:t>NEWS</w:t>
      </w:r>
    </w:p>
    <w:p w14:paraId="0F0613E4" w14:textId="77777777" w:rsidR="0025441D" w:rsidRPr="0025441D" w:rsidRDefault="0025441D" w:rsidP="0025441D">
      <w:pPr>
        <w:rPr>
          <w:rFonts w:ascii="Calibri" w:eastAsia="Times New Roman" w:hAnsi="Calibri" w:cs="Calibri"/>
          <w:color w:val="151A1E"/>
        </w:rPr>
      </w:pPr>
      <w:r w:rsidRPr="0025441D">
        <w:rPr>
          <w:rFonts w:ascii="Calibri" w:eastAsia="Times New Roman" w:hAnsi="Calibri" w:cs="Calibri"/>
          <w:color w:val="151A1E"/>
        </w:rPr>
        <w:t> </w:t>
      </w:r>
    </w:p>
    <w:p w14:paraId="7735CEF7" w14:textId="77777777" w:rsidR="0025441D" w:rsidRPr="0025441D" w:rsidRDefault="0025441D" w:rsidP="0025441D">
      <w:pPr>
        <w:rPr>
          <w:rFonts w:ascii="Calibri" w:eastAsia="Times New Roman" w:hAnsi="Calibri" w:cs="Calibri"/>
          <w:caps/>
          <w:color w:val="151A1E"/>
        </w:rPr>
      </w:pPr>
      <w:r w:rsidRPr="0025441D">
        <w:rPr>
          <w:rFonts w:ascii="Calibri" w:eastAsia="Times New Roman" w:hAnsi="Calibri" w:cs="Calibri"/>
          <w:caps/>
          <w:color w:val="151A1E"/>
        </w:rPr>
        <w:t>DATE:</w:t>
      </w:r>
    </w:p>
    <w:p w14:paraId="6651E253" w14:textId="77777777" w:rsidR="0025441D" w:rsidRPr="0025441D" w:rsidRDefault="0025441D" w:rsidP="0025441D">
      <w:pPr>
        <w:rPr>
          <w:rFonts w:ascii="Calibri" w:eastAsia="Times New Roman" w:hAnsi="Calibri" w:cs="Calibri"/>
          <w:color w:val="151A1E"/>
        </w:rPr>
      </w:pPr>
      <w:r w:rsidRPr="0025441D">
        <w:rPr>
          <w:rFonts w:ascii="Calibri" w:eastAsia="Times New Roman" w:hAnsi="Calibri" w:cs="Calibri"/>
          <w:color w:val="151A1E"/>
        </w:rPr>
        <w:t> </w:t>
      </w:r>
    </w:p>
    <w:p w14:paraId="6E646915" w14:textId="77777777" w:rsidR="0025441D" w:rsidRPr="0025441D" w:rsidRDefault="0025441D" w:rsidP="0025441D">
      <w:pPr>
        <w:rPr>
          <w:rFonts w:ascii="FFKievitStdExtraBold" w:eastAsia="Times New Roman" w:hAnsi="FFKievitStdExtraBold" w:cs="Calibri"/>
          <w:color w:val="151A1E"/>
        </w:rPr>
      </w:pPr>
      <w:r w:rsidRPr="0025441D">
        <w:rPr>
          <w:rFonts w:ascii="FFKievitStdExtraBold" w:eastAsia="Times New Roman" w:hAnsi="FFKievitStdExtraBold" w:cs="Calibri"/>
          <w:color w:val="151A1E"/>
        </w:rPr>
        <w:t>18 Jun 2019</w:t>
      </w:r>
    </w:p>
    <w:p w14:paraId="1D205027" w14:textId="77777777" w:rsidR="0025441D" w:rsidRPr="0025441D" w:rsidRDefault="0025441D" w:rsidP="0025441D">
      <w:pPr>
        <w:spacing w:after="100" w:afterAutospacing="1"/>
        <w:rPr>
          <w:rFonts w:ascii="Calibri" w:eastAsia="Times New Roman" w:hAnsi="Calibri" w:cs="Calibri"/>
          <w:color w:val="151A1E"/>
        </w:rPr>
      </w:pPr>
      <w:bookmarkStart w:id="0" w:name="_GoBack"/>
      <w:bookmarkEnd w:id="0"/>
      <w:r w:rsidRPr="001E5F8F">
        <w:rPr>
          <w:rFonts w:ascii="Calibri" w:eastAsia="Times New Roman" w:hAnsi="Calibri" w:cs="Calibri"/>
          <w:color w:val="151A1E"/>
        </w:rPr>
        <w:t>Following the publication on 6 June 2019 of the end-May 2019 risk-free-rate technical information, the Icelandic Krona (ISK) government bond yields used for calculating the relevant risk-free interest rate term structures were incorrect.</w:t>
      </w:r>
      <w:r w:rsidRPr="001E5F8F">
        <w:rPr>
          <w:rFonts w:ascii="Calibri" w:eastAsia="Times New Roman" w:hAnsi="Calibri" w:cs="Calibri"/>
          <w:color w:val="151A1E"/>
        </w:rPr>
        <w:br/>
        <w:t>Therefore, EIOPA recalculated the risk-free interest rate term structures for the ISK to ensure that insurance and reinsurance undertakings can base their calculation of technical provisions on the correct technical information.</w:t>
      </w:r>
      <w:r w:rsidRPr="001E5F8F">
        <w:rPr>
          <w:rFonts w:ascii="Calibri" w:eastAsia="Times New Roman" w:hAnsi="Calibri" w:cs="Calibri"/>
          <w:color w:val="151A1E"/>
        </w:rPr>
        <w:br/>
        <w:t>The technical information related to all other currencies remains unchanged.</w:t>
      </w:r>
      <w:r w:rsidRPr="001E5F8F">
        <w:rPr>
          <w:rFonts w:ascii="Calibri" w:eastAsia="Times New Roman" w:hAnsi="Calibri" w:cs="Calibri"/>
          <w:color w:val="151A1E"/>
        </w:rPr>
        <w:br/>
        <w:t>This RFR information has been calculated on the basis of the last updated documents published on EIOPA's website.</w:t>
      </w:r>
    </w:p>
    <w:p w14:paraId="7BAFB604" w14:textId="77777777" w:rsidR="0025441D" w:rsidRPr="0025441D" w:rsidRDefault="0025441D" w:rsidP="0025441D">
      <w:pPr>
        <w:spacing w:after="100" w:afterAutospacing="1"/>
        <w:outlineLvl w:val="2"/>
        <w:rPr>
          <w:rFonts w:ascii="Calibri" w:eastAsia="Times New Roman" w:hAnsi="Calibri" w:cs="Calibri"/>
          <w:color w:val="151A1E"/>
          <w:sz w:val="27"/>
          <w:szCs w:val="27"/>
        </w:rPr>
      </w:pPr>
      <w:r w:rsidRPr="0025441D">
        <w:rPr>
          <w:rFonts w:ascii="Calibri" w:eastAsia="Times New Roman" w:hAnsi="Calibri" w:cs="Calibri"/>
          <w:color w:val="151A1E"/>
          <w:sz w:val="27"/>
          <w:szCs w:val="27"/>
        </w:rPr>
        <w:t>Background</w:t>
      </w:r>
    </w:p>
    <w:p w14:paraId="1EE6AD18" w14:textId="77777777" w:rsidR="0025441D" w:rsidRPr="0025441D" w:rsidRDefault="0025441D" w:rsidP="0025441D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25441D">
        <w:rPr>
          <w:rFonts w:ascii="Calibri" w:eastAsia="Times New Roman" w:hAnsi="Calibri" w:cs="Calibri"/>
          <w:color w:val="151A1E"/>
        </w:rPr>
        <w:t>Technical information relating to risk-free interest rate (RFR) term structures is used for the calculation of the technical provisions for (re)insurance obligations.</w:t>
      </w:r>
      <w:r w:rsidRPr="0025441D">
        <w:rPr>
          <w:rFonts w:ascii="Calibri" w:eastAsia="Times New Roman" w:hAnsi="Calibri" w:cs="Calibri"/>
          <w:color w:val="151A1E"/>
        </w:rPr>
        <w:br/>
        <w:t>In line with the Solvency II Directive, EIOPA publishes technical information relating to RFR term structures on a monthly basis via a dedicated section on EIOPA's Website also containing the release calendar for 2019, the RFR Technical Documentation, the RFR coding and Frequently Asked Questions.</w:t>
      </w:r>
      <w:r w:rsidRPr="0025441D">
        <w:rPr>
          <w:rFonts w:ascii="Calibri" w:eastAsia="Times New Roman" w:hAnsi="Calibri" w:cs="Calibri"/>
          <w:color w:val="151A1E"/>
        </w:rPr>
        <w:br/>
        <w:t>With this publication, EIOPA ensures consistent calculation of technical provisions across Europe.</w:t>
      </w:r>
    </w:p>
    <w:p w14:paraId="488C4386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FKievitStdExtra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DD"/>
    <w:rsid w:val="001E5F8F"/>
    <w:rsid w:val="0025441D"/>
    <w:rsid w:val="003C5CDD"/>
    <w:rsid w:val="00453EED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FAAA6"/>
  <w14:defaultImageDpi w14:val="32767"/>
  <w15:chartTrackingRefBased/>
  <w15:docId w15:val="{A81B4CFE-9030-8149-B70C-A55F1FE9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4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544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544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5441D"/>
  </w:style>
  <w:style w:type="paragraph" w:styleId="NormalWeb">
    <w:name w:val="Normal (Web)"/>
    <w:basedOn w:val="Normal"/>
    <w:uiPriority w:val="99"/>
    <w:semiHidden/>
    <w:unhideWhenUsed/>
    <w:rsid w:val="002544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72984064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9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1116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2020-02-18T09:44:00Z</dcterms:created>
  <dcterms:modified xsi:type="dcterms:W3CDTF">2020-04-22T12:09:00Z</dcterms:modified>
</cp:coreProperties>
</file>