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2DF39" w14:textId="77777777" w:rsidR="00216D37" w:rsidRPr="00216D37" w:rsidRDefault="00216D37" w:rsidP="00216D37">
      <w:pPr>
        <w:shd w:val="clear" w:color="auto" w:fill="FFFFFF"/>
        <w:spacing w:after="100" w:afterAutospacing="1"/>
        <w:outlineLvl w:val="0"/>
        <w:rPr>
          <w:rFonts w:ascii="FFKievitStdExtraBold" w:eastAsia="Times New Roman" w:hAnsi="FFKievitStdExtraBold" w:cs="Calibri"/>
          <w:color w:val="151A1E"/>
          <w:kern w:val="36"/>
          <w:sz w:val="48"/>
          <w:szCs w:val="48"/>
        </w:rPr>
      </w:pPr>
      <w:r w:rsidRPr="00216D37">
        <w:rPr>
          <w:rFonts w:ascii="FFKievitStdExtraBold" w:eastAsia="Times New Roman" w:hAnsi="FFKievitStdExtraBold" w:cs="Calibri"/>
          <w:color w:val="151A1E"/>
          <w:kern w:val="36"/>
          <w:sz w:val="48"/>
          <w:szCs w:val="48"/>
        </w:rPr>
        <w:t>EIOPA, ECB and national authorities agree on common minimum standards for supervisory and statistical reporting by (re)insurance undertakings</w:t>
      </w:r>
    </w:p>
    <w:p w14:paraId="21AA3C2A" w14:textId="77777777" w:rsidR="00216D37" w:rsidRPr="00216D37" w:rsidRDefault="00216D37" w:rsidP="00216D37">
      <w:pPr>
        <w:rPr>
          <w:rFonts w:ascii="FFKievitStdExtraBold" w:eastAsia="Times New Roman" w:hAnsi="FFKievitStdExtraBold" w:cs="Calibri"/>
          <w:caps/>
          <w:color w:val="151A1E"/>
        </w:rPr>
      </w:pPr>
      <w:r w:rsidRPr="00216D37">
        <w:rPr>
          <w:rFonts w:ascii="FFKievitStdExtraBold" w:eastAsia="Times New Roman" w:hAnsi="FFKievitStdExtraBold" w:cs="Calibri"/>
          <w:caps/>
          <w:color w:val="151A1E"/>
        </w:rPr>
        <w:t>NEWS</w:t>
      </w:r>
    </w:p>
    <w:p w14:paraId="1AD2E26A" w14:textId="77777777" w:rsidR="00216D37" w:rsidRPr="00216D37" w:rsidRDefault="00216D37" w:rsidP="00216D37">
      <w:pPr>
        <w:rPr>
          <w:rFonts w:ascii="Calibri" w:eastAsia="Times New Roman" w:hAnsi="Calibri" w:cs="Calibri"/>
          <w:color w:val="151A1E"/>
        </w:rPr>
      </w:pPr>
      <w:r w:rsidRPr="00216D37">
        <w:rPr>
          <w:rFonts w:ascii="Calibri" w:eastAsia="Times New Roman" w:hAnsi="Calibri" w:cs="Calibri"/>
          <w:color w:val="151A1E"/>
        </w:rPr>
        <w:t> </w:t>
      </w:r>
    </w:p>
    <w:p w14:paraId="2744B71B" w14:textId="77777777" w:rsidR="00216D37" w:rsidRPr="00216D37" w:rsidRDefault="00216D37" w:rsidP="00216D37">
      <w:pPr>
        <w:rPr>
          <w:rFonts w:ascii="Calibri" w:eastAsia="Times New Roman" w:hAnsi="Calibri" w:cs="Calibri"/>
          <w:caps/>
          <w:color w:val="151A1E"/>
        </w:rPr>
      </w:pPr>
      <w:r w:rsidRPr="00216D37">
        <w:rPr>
          <w:rFonts w:ascii="Calibri" w:eastAsia="Times New Roman" w:hAnsi="Calibri" w:cs="Calibri"/>
          <w:caps/>
          <w:color w:val="151A1E"/>
        </w:rPr>
        <w:t>DATE:</w:t>
      </w:r>
    </w:p>
    <w:p w14:paraId="12313BF0" w14:textId="77777777" w:rsidR="00216D37" w:rsidRPr="00216D37" w:rsidRDefault="00216D37" w:rsidP="00216D37">
      <w:pPr>
        <w:rPr>
          <w:rFonts w:ascii="Calibri" w:eastAsia="Times New Roman" w:hAnsi="Calibri" w:cs="Calibri"/>
          <w:color w:val="151A1E"/>
        </w:rPr>
      </w:pPr>
      <w:r w:rsidRPr="00216D37">
        <w:rPr>
          <w:rFonts w:ascii="Calibri" w:eastAsia="Times New Roman" w:hAnsi="Calibri" w:cs="Calibri"/>
          <w:color w:val="151A1E"/>
        </w:rPr>
        <w:t> </w:t>
      </w:r>
    </w:p>
    <w:p w14:paraId="05D5115A" w14:textId="77777777" w:rsidR="00216D37" w:rsidRPr="00216D37" w:rsidRDefault="00216D37" w:rsidP="00216D37">
      <w:pPr>
        <w:rPr>
          <w:rFonts w:ascii="FFKievitStdExtraBold" w:eastAsia="Times New Roman" w:hAnsi="FFKievitStdExtraBold" w:cs="Calibri"/>
          <w:color w:val="151A1E"/>
        </w:rPr>
      </w:pPr>
      <w:r w:rsidRPr="00216D37">
        <w:rPr>
          <w:rFonts w:ascii="FFKievitStdExtraBold" w:eastAsia="Times New Roman" w:hAnsi="FFKievitStdExtraBold" w:cs="Calibri"/>
          <w:color w:val="151A1E"/>
        </w:rPr>
        <w:t>13 Jun 2019</w:t>
      </w:r>
    </w:p>
    <w:p w14:paraId="5A074EC9" w14:textId="77777777" w:rsidR="00216D37" w:rsidRPr="00216D37" w:rsidRDefault="00216D37" w:rsidP="00216D37">
      <w:pPr>
        <w:spacing w:after="100" w:afterAutospacing="1"/>
        <w:rPr>
          <w:rFonts w:ascii="Calibri" w:eastAsia="Times New Roman" w:hAnsi="Calibri" w:cs="Calibri"/>
          <w:color w:val="151A1E"/>
        </w:rPr>
      </w:pPr>
      <w:r w:rsidRPr="00216D37">
        <w:rPr>
          <w:rFonts w:ascii="Calibri" w:eastAsia="Times New Roman" w:hAnsi="Calibri" w:cs="Calibri"/>
          <w:color w:val="151A1E"/>
        </w:rPr>
        <w:t xml:space="preserve">Today, the European Insurance and Occupational Pensions Authority (EIOPA) and the European Central Bank (ECB) </w:t>
      </w:r>
      <w:r w:rsidRPr="00D504A5">
        <w:rPr>
          <w:rFonts w:ascii="Calibri" w:eastAsia="Times New Roman" w:hAnsi="Calibri" w:cs="Calibri"/>
          <w:color w:val="151A1E"/>
          <w:highlight w:val="darkGray"/>
        </w:rPr>
        <w:t>published Common Minimum Standards for Data Revisions</w:t>
      </w:r>
      <w:r w:rsidRPr="00216D37">
        <w:rPr>
          <w:rFonts w:ascii="Calibri" w:eastAsia="Times New Roman" w:hAnsi="Calibri" w:cs="Calibri"/>
          <w:color w:val="151A1E"/>
        </w:rPr>
        <w:t xml:space="preserve"> agreed between the ECB, EIOPA, the National Central Banks (NCBs) and the National Competent Authorities (NCAs).</w:t>
      </w:r>
      <w:r w:rsidRPr="00216D37">
        <w:rPr>
          <w:rFonts w:ascii="Calibri" w:eastAsia="Times New Roman" w:hAnsi="Calibri" w:cs="Calibri"/>
          <w:color w:val="151A1E"/>
        </w:rPr>
        <w:br/>
      </w:r>
      <w:bookmarkStart w:id="0" w:name="_GoBack"/>
      <w:bookmarkEnd w:id="0"/>
      <w:r w:rsidRPr="00D504A5">
        <w:rPr>
          <w:rFonts w:ascii="Calibri" w:eastAsia="Times New Roman" w:hAnsi="Calibri" w:cs="Calibri"/>
          <w:color w:val="151A1E"/>
          <w:highlight w:val="darkGray"/>
        </w:rPr>
        <w:t>Given the integrated reporting approach followed for supervisory and statistical reporting to EIOPA and the ECB, a common understanding of the minimum level of data quality is required as well as of when a revision of data is considered necessary.</w:t>
      </w:r>
      <w:r w:rsidRPr="00216D37">
        <w:rPr>
          <w:rFonts w:ascii="Calibri" w:eastAsia="Times New Roman" w:hAnsi="Calibri" w:cs="Calibri"/>
          <w:color w:val="151A1E"/>
        </w:rPr>
        <w:br/>
        <w:t>While information reported should be of good quality at the time of its first submission, at a later stage revisions may be needed upon request by the European or national authorities or upon financial institutions' own initiative.</w:t>
      </w:r>
      <w:r w:rsidRPr="00216D37">
        <w:rPr>
          <w:rFonts w:ascii="Calibri" w:eastAsia="Times New Roman" w:hAnsi="Calibri" w:cs="Calibri"/>
          <w:color w:val="151A1E"/>
        </w:rPr>
        <w:br/>
        <w:t>By agreeing on common minimum standards, all authorities have aligned their expectations for the minimum acceptable level of data quality for the purposes of the different uses of data to be considered for the reporting reference dates after its date of publication. However, these common minimum standards should not prevent stricter practices from being applied at national level. The NCAs and NCBs have the responsibility and the power to request financial institutions to revise data when necessary.</w:t>
      </w:r>
      <w:r w:rsidRPr="00216D37">
        <w:rPr>
          <w:rFonts w:ascii="Calibri" w:eastAsia="Times New Roman" w:hAnsi="Calibri" w:cs="Calibri"/>
          <w:color w:val="151A1E"/>
        </w:rPr>
        <w:br/>
        <w:t>The common minimum standards specify:</w:t>
      </w:r>
    </w:p>
    <w:p w14:paraId="65664B7C" w14:textId="77777777" w:rsidR="00216D37" w:rsidRPr="00216D37" w:rsidRDefault="00216D37" w:rsidP="00216D37">
      <w:pPr>
        <w:numPr>
          <w:ilvl w:val="0"/>
          <w:numId w:val="1"/>
        </w:numPr>
        <w:spacing w:before="100" w:beforeAutospacing="1"/>
        <w:rPr>
          <w:rFonts w:ascii="Calibri" w:eastAsia="Times New Roman" w:hAnsi="Calibri" w:cs="Calibri"/>
          <w:color w:val="151A1E"/>
        </w:rPr>
      </w:pPr>
      <w:r w:rsidRPr="00216D37">
        <w:rPr>
          <w:rFonts w:ascii="FFKievitStdExtraBold" w:eastAsia="Times New Roman" w:hAnsi="FFKievitStdExtraBold" w:cs="Calibri"/>
          <w:color w:val="151A1E"/>
        </w:rPr>
        <w:t>The request for revisions</w:t>
      </w:r>
      <w:r w:rsidRPr="00216D37">
        <w:rPr>
          <w:rFonts w:ascii="Calibri" w:eastAsia="Times New Roman" w:hAnsi="Calibri" w:cs="Calibri"/>
          <w:color w:val="151A1E"/>
        </w:rPr>
        <w:t> – when NCAs or NCBs should request financial institutions to revise the data previously submitted</w:t>
      </w:r>
    </w:p>
    <w:p w14:paraId="206AC56A" w14:textId="77777777" w:rsidR="00216D37" w:rsidRPr="00216D37" w:rsidRDefault="00216D37" w:rsidP="00216D37">
      <w:pPr>
        <w:numPr>
          <w:ilvl w:val="0"/>
          <w:numId w:val="1"/>
        </w:numPr>
        <w:spacing w:before="100" w:beforeAutospacing="1"/>
        <w:rPr>
          <w:rFonts w:ascii="Calibri" w:eastAsia="Times New Roman" w:hAnsi="Calibri" w:cs="Calibri"/>
          <w:color w:val="151A1E"/>
        </w:rPr>
      </w:pPr>
      <w:r w:rsidRPr="00216D37">
        <w:rPr>
          <w:rFonts w:ascii="FFKievitStdExtraBold" w:eastAsia="Times New Roman" w:hAnsi="FFKievitStdExtraBold" w:cs="Calibri"/>
          <w:color w:val="151A1E"/>
        </w:rPr>
        <w:t xml:space="preserve">The </w:t>
      </w:r>
      <w:proofErr w:type="spellStart"/>
      <w:r w:rsidRPr="00216D37">
        <w:rPr>
          <w:rFonts w:ascii="FFKievitStdExtraBold" w:eastAsia="Times New Roman" w:hAnsi="FFKievitStdExtraBold" w:cs="Calibri"/>
          <w:color w:val="151A1E"/>
        </w:rPr>
        <w:t>synchronisation</w:t>
      </w:r>
      <w:proofErr w:type="spellEnd"/>
      <w:r w:rsidRPr="00216D37">
        <w:rPr>
          <w:rFonts w:ascii="Calibri" w:eastAsia="Times New Roman" w:hAnsi="Calibri" w:cs="Calibri"/>
          <w:color w:val="151A1E"/>
        </w:rPr>
        <w:t> –the same data has to be available at all levels (i.e. financial institutions, NCAs/NCBs, EIOPA, ECB) at all times</w:t>
      </w:r>
    </w:p>
    <w:p w14:paraId="3B244687" w14:textId="77777777" w:rsidR="00216D37" w:rsidRPr="00216D37" w:rsidRDefault="00216D37" w:rsidP="00216D37">
      <w:pPr>
        <w:numPr>
          <w:ilvl w:val="0"/>
          <w:numId w:val="1"/>
        </w:numPr>
        <w:spacing w:before="100" w:beforeAutospacing="1"/>
        <w:rPr>
          <w:rFonts w:ascii="Calibri" w:eastAsia="Times New Roman" w:hAnsi="Calibri" w:cs="Calibri"/>
          <w:color w:val="151A1E"/>
        </w:rPr>
      </w:pPr>
      <w:r w:rsidRPr="00216D37">
        <w:rPr>
          <w:rFonts w:ascii="FFKievitStdExtraBold" w:eastAsia="Times New Roman" w:hAnsi="FFKievitStdExtraBold" w:cs="Calibri"/>
          <w:color w:val="151A1E"/>
        </w:rPr>
        <w:t>The timeliness</w:t>
      </w:r>
      <w:r w:rsidRPr="00216D37">
        <w:rPr>
          <w:rFonts w:ascii="Calibri" w:eastAsia="Times New Roman" w:hAnsi="Calibri" w:cs="Calibri"/>
          <w:color w:val="151A1E"/>
        </w:rPr>
        <w:t> – the time when the revisions should be sent by NCAs and NCBs to EIOPA and the ECB respectively</w:t>
      </w:r>
    </w:p>
    <w:p w14:paraId="79B28CC5" w14:textId="77777777" w:rsidR="00216D37" w:rsidRPr="00216D37" w:rsidRDefault="00216D37" w:rsidP="00216D37">
      <w:pPr>
        <w:numPr>
          <w:ilvl w:val="0"/>
          <w:numId w:val="1"/>
        </w:numPr>
        <w:spacing w:before="100" w:beforeAutospacing="1"/>
        <w:rPr>
          <w:rFonts w:ascii="Calibri" w:eastAsia="Times New Roman" w:hAnsi="Calibri" w:cs="Calibri"/>
          <w:color w:val="151A1E"/>
        </w:rPr>
      </w:pPr>
      <w:r w:rsidRPr="00216D37">
        <w:rPr>
          <w:rFonts w:ascii="FFKievitStdExtraBold" w:eastAsia="Times New Roman" w:hAnsi="FFKievitStdExtraBold" w:cs="Calibri"/>
          <w:color w:val="151A1E"/>
        </w:rPr>
        <w:t>The need for historical revisions</w:t>
      </w:r>
      <w:r w:rsidRPr="00216D37">
        <w:rPr>
          <w:rFonts w:ascii="Calibri" w:eastAsia="Times New Roman" w:hAnsi="Calibri" w:cs="Calibri"/>
          <w:color w:val="151A1E"/>
        </w:rPr>
        <w:t> – when an issue is identified which would lead to significant revisions and which also affects back-data and how to provide the revisions</w:t>
      </w:r>
    </w:p>
    <w:p w14:paraId="51CF58B4" w14:textId="77777777" w:rsidR="00216D37" w:rsidRPr="00216D37" w:rsidRDefault="00216D37" w:rsidP="00216D37">
      <w:pPr>
        <w:spacing w:after="100" w:afterAutospacing="1"/>
        <w:rPr>
          <w:rFonts w:ascii="Calibri" w:eastAsia="Times New Roman" w:hAnsi="Calibri" w:cs="Calibri"/>
          <w:color w:val="151A1E"/>
        </w:rPr>
      </w:pPr>
      <w:r w:rsidRPr="00216D37">
        <w:rPr>
          <w:rFonts w:ascii="Calibri" w:eastAsia="Times New Roman" w:hAnsi="Calibri" w:cs="Calibri"/>
          <w:color w:val="151A1E"/>
        </w:rPr>
        <w:t>The Common Minimum Standards can be obtained via the following link to the website of EIOPA and the ECB. </w:t>
      </w:r>
    </w:p>
    <w:p w14:paraId="1A8AC40A" w14:textId="77777777" w:rsidR="00216D37" w:rsidRPr="00216D37" w:rsidRDefault="00216D37" w:rsidP="00216D37">
      <w:pPr>
        <w:spacing w:after="100" w:afterAutospacing="1"/>
        <w:outlineLvl w:val="2"/>
        <w:rPr>
          <w:rFonts w:ascii="Calibri" w:eastAsia="Times New Roman" w:hAnsi="Calibri" w:cs="Calibri"/>
          <w:color w:val="151A1E"/>
          <w:sz w:val="27"/>
          <w:szCs w:val="27"/>
        </w:rPr>
      </w:pPr>
      <w:r w:rsidRPr="00216D37">
        <w:rPr>
          <w:rFonts w:ascii="Calibri" w:eastAsia="Times New Roman" w:hAnsi="Calibri" w:cs="Calibri"/>
          <w:color w:val="151A1E"/>
          <w:sz w:val="27"/>
          <w:szCs w:val="27"/>
        </w:rPr>
        <w:t>Background </w:t>
      </w:r>
    </w:p>
    <w:p w14:paraId="588F7485" w14:textId="77777777" w:rsidR="00216D37" w:rsidRPr="00216D37" w:rsidRDefault="00216D37" w:rsidP="00216D37">
      <w:pPr>
        <w:spacing w:after="100" w:afterAutospacing="1"/>
        <w:rPr>
          <w:rFonts w:ascii="Calibri" w:eastAsia="Times New Roman" w:hAnsi="Calibri" w:cs="Calibri"/>
          <w:color w:val="151A1E"/>
        </w:rPr>
      </w:pPr>
      <w:r w:rsidRPr="00D504A5">
        <w:rPr>
          <w:rFonts w:ascii="Calibri" w:eastAsia="Times New Roman" w:hAnsi="Calibri" w:cs="Calibri"/>
          <w:color w:val="151A1E"/>
          <w:highlight w:val="darkGray"/>
        </w:rPr>
        <w:lastRenderedPageBreak/>
        <w:t>Data quality is crucial in any data management process. Data reported under the EU Solvency II framework for insurance and reinsurance undertakings are used by national competent authorities (NCAs) in the supervisory review process and by most national central banks (NCBs) as input in the compilation of insurance corporation statistics. NCAs also submit the supervisory information to the European Insurance and Occupational Pensions Authority (EIOPA), and NCBs submit the derived statistical information to the European Central Bank (ECB).</w:t>
      </w:r>
    </w:p>
    <w:p w14:paraId="6C41B9D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FFKievitStdExtraBol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2DDB"/>
    <w:multiLevelType w:val="multilevel"/>
    <w:tmpl w:val="F32E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8B"/>
    <w:rsid w:val="00105D8B"/>
    <w:rsid w:val="00216D37"/>
    <w:rsid w:val="00453EED"/>
    <w:rsid w:val="00BE080D"/>
    <w:rsid w:val="00D5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7B8EB"/>
  <w14:defaultImageDpi w14:val="32767"/>
  <w15:chartTrackingRefBased/>
  <w15:docId w15:val="{09FC303C-3F0B-E449-AE2E-EF262496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16D3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16D3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D3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16D3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16D37"/>
  </w:style>
  <w:style w:type="paragraph" w:styleId="NormalWeb">
    <w:name w:val="Normal (Web)"/>
    <w:basedOn w:val="Normal"/>
    <w:uiPriority w:val="99"/>
    <w:semiHidden/>
    <w:unhideWhenUsed/>
    <w:rsid w:val="00216D3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16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851801">
      <w:bodyDiv w:val="1"/>
      <w:marLeft w:val="0"/>
      <w:marRight w:val="0"/>
      <w:marTop w:val="0"/>
      <w:marBottom w:val="0"/>
      <w:divBdr>
        <w:top w:val="none" w:sz="0" w:space="0" w:color="auto"/>
        <w:left w:val="none" w:sz="0" w:space="0" w:color="auto"/>
        <w:bottom w:val="none" w:sz="0" w:space="0" w:color="auto"/>
        <w:right w:val="none" w:sz="0" w:space="0" w:color="auto"/>
      </w:divBdr>
      <w:divsChild>
        <w:div w:id="1203179074">
          <w:marLeft w:val="0"/>
          <w:marRight w:val="0"/>
          <w:marTop w:val="0"/>
          <w:marBottom w:val="0"/>
          <w:divBdr>
            <w:top w:val="none" w:sz="0" w:space="0" w:color="auto"/>
            <w:left w:val="none" w:sz="0" w:space="0" w:color="auto"/>
            <w:bottom w:val="none" w:sz="0" w:space="0" w:color="auto"/>
            <w:right w:val="none" w:sz="0" w:space="0" w:color="auto"/>
          </w:divBdr>
          <w:divsChild>
            <w:div w:id="1065372541">
              <w:marLeft w:val="0"/>
              <w:marRight w:val="0"/>
              <w:marTop w:val="0"/>
              <w:marBottom w:val="0"/>
              <w:divBdr>
                <w:top w:val="none" w:sz="0" w:space="0" w:color="auto"/>
                <w:left w:val="none" w:sz="0" w:space="0" w:color="auto"/>
                <w:bottom w:val="none" w:sz="0" w:space="0" w:color="auto"/>
                <w:right w:val="none" w:sz="0" w:space="0" w:color="auto"/>
              </w:divBdr>
            </w:div>
            <w:div w:id="1466897271">
              <w:marLeft w:val="0"/>
              <w:marRight w:val="0"/>
              <w:marTop w:val="0"/>
              <w:marBottom w:val="0"/>
              <w:divBdr>
                <w:top w:val="none" w:sz="0" w:space="0" w:color="auto"/>
                <w:left w:val="none" w:sz="0" w:space="0" w:color="auto"/>
                <w:bottom w:val="none" w:sz="0" w:space="0" w:color="auto"/>
                <w:right w:val="none" w:sz="0" w:space="0" w:color="auto"/>
              </w:divBdr>
              <w:divsChild>
                <w:div w:id="603608179">
                  <w:marLeft w:val="0"/>
                  <w:marRight w:val="0"/>
                  <w:marTop w:val="0"/>
                  <w:marBottom w:val="0"/>
                  <w:divBdr>
                    <w:top w:val="none" w:sz="0" w:space="0" w:color="auto"/>
                    <w:left w:val="none" w:sz="0" w:space="0" w:color="auto"/>
                    <w:bottom w:val="none" w:sz="0" w:space="0" w:color="auto"/>
                    <w:right w:val="none" w:sz="0" w:space="0" w:color="auto"/>
                  </w:divBdr>
                  <w:divsChild>
                    <w:div w:id="1861580027">
                      <w:marLeft w:val="0"/>
                      <w:marRight w:val="0"/>
                      <w:marTop w:val="0"/>
                      <w:marBottom w:val="0"/>
                      <w:divBdr>
                        <w:top w:val="none" w:sz="0" w:space="0" w:color="auto"/>
                        <w:left w:val="none" w:sz="0" w:space="0" w:color="auto"/>
                        <w:bottom w:val="none" w:sz="0" w:space="0" w:color="auto"/>
                        <w:right w:val="single" w:sz="6" w:space="0" w:color="151A1E"/>
                      </w:divBdr>
                      <w:divsChild>
                        <w:div w:id="344207733">
                          <w:marLeft w:val="60"/>
                          <w:marRight w:val="0"/>
                          <w:marTop w:val="0"/>
                          <w:marBottom w:val="0"/>
                          <w:divBdr>
                            <w:top w:val="none" w:sz="0" w:space="0" w:color="auto"/>
                            <w:left w:val="none" w:sz="0" w:space="0" w:color="auto"/>
                            <w:bottom w:val="none" w:sz="0" w:space="0" w:color="auto"/>
                            <w:right w:val="none" w:sz="0" w:space="0" w:color="auto"/>
                          </w:divBdr>
                        </w:div>
                      </w:divsChild>
                    </w:div>
                    <w:div w:id="132799071">
                      <w:marLeft w:val="0"/>
                      <w:marRight w:val="0"/>
                      <w:marTop w:val="0"/>
                      <w:marBottom w:val="0"/>
                      <w:divBdr>
                        <w:top w:val="none" w:sz="0" w:space="0" w:color="auto"/>
                        <w:left w:val="none" w:sz="0" w:space="0" w:color="auto"/>
                        <w:bottom w:val="none" w:sz="0" w:space="0" w:color="auto"/>
                        <w:right w:val="none" w:sz="0" w:space="0" w:color="auto"/>
                      </w:divBdr>
                      <w:divsChild>
                        <w:div w:id="1803960012">
                          <w:marLeft w:val="0"/>
                          <w:marRight w:val="0"/>
                          <w:marTop w:val="0"/>
                          <w:marBottom w:val="0"/>
                          <w:divBdr>
                            <w:top w:val="none" w:sz="0" w:space="0" w:color="auto"/>
                            <w:left w:val="none" w:sz="0" w:space="0" w:color="auto"/>
                            <w:bottom w:val="none" w:sz="0" w:space="0" w:color="auto"/>
                            <w:right w:val="none" w:sz="0" w:space="0" w:color="auto"/>
                          </w:divBdr>
                        </w:div>
                        <w:div w:id="11189084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59314">
          <w:marLeft w:val="0"/>
          <w:marRight w:val="0"/>
          <w:marTop w:val="0"/>
          <w:marBottom w:val="0"/>
          <w:divBdr>
            <w:top w:val="none" w:sz="0" w:space="0" w:color="auto"/>
            <w:left w:val="none" w:sz="0" w:space="0" w:color="auto"/>
            <w:bottom w:val="none" w:sz="0" w:space="0" w:color="auto"/>
            <w:right w:val="none" w:sz="0" w:space="0" w:color="auto"/>
          </w:divBdr>
          <w:divsChild>
            <w:div w:id="1740323898">
              <w:marLeft w:val="0"/>
              <w:marRight w:val="0"/>
              <w:marTop w:val="0"/>
              <w:marBottom w:val="0"/>
              <w:divBdr>
                <w:top w:val="none" w:sz="0" w:space="0" w:color="auto"/>
                <w:left w:val="none" w:sz="0" w:space="0" w:color="auto"/>
                <w:bottom w:val="none" w:sz="0" w:space="0" w:color="auto"/>
                <w:right w:val="none" w:sz="0" w:space="0" w:color="auto"/>
              </w:divBdr>
              <w:divsChild>
                <w:div w:id="1774671060">
                  <w:marLeft w:val="0"/>
                  <w:marRight w:val="0"/>
                  <w:marTop w:val="0"/>
                  <w:marBottom w:val="0"/>
                  <w:divBdr>
                    <w:top w:val="none" w:sz="0" w:space="0" w:color="auto"/>
                    <w:left w:val="none" w:sz="0" w:space="0" w:color="auto"/>
                    <w:bottom w:val="none" w:sz="0" w:space="0" w:color="auto"/>
                    <w:right w:val="none" w:sz="0" w:space="0" w:color="auto"/>
                  </w:divBdr>
                  <w:divsChild>
                    <w:div w:id="164247038">
                      <w:marLeft w:val="0"/>
                      <w:marRight w:val="0"/>
                      <w:marTop w:val="0"/>
                      <w:marBottom w:val="0"/>
                      <w:divBdr>
                        <w:top w:val="none" w:sz="0" w:space="0" w:color="auto"/>
                        <w:left w:val="none" w:sz="0" w:space="0" w:color="auto"/>
                        <w:bottom w:val="none" w:sz="0" w:space="0" w:color="auto"/>
                        <w:right w:val="none" w:sz="0" w:space="0" w:color="auto"/>
                      </w:divBdr>
                      <w:divsChild>
                        <w:div w:id="1516768190">
                          <w:marLeft w:val="0"/>
                          <w:marRight w:val="0"/>
                          <w:marTop w:val="0"/>
                          <w:marBottom w:val="0"/>
                          <w:divBdr>
                            <w:top w:val="none" w:sz="0" w:space="0" w:color="auto"/>
                            <w:left w:val="none" w:sz="0" w:space="0" w:color="auto"/>
                            <w:bottom w:val="none" w:sz="0" w:space="0" w:color="auto"/>
                            <w:right w:val="none" w:sz="0" w:space="0" w:color="auto"/>
                          </w:divBdr>
                          <w:divsChild>
                            <w:div w:id="780690782">
                              <w:marLeft w:val="0"/>
                              <w:marRight w:val="0"/>
                              <w:marTop w:val="0"/>
                              <w:marBottom w:val="0"/>
                              <w:divBdr>
                                <w:top w:val="none" w:sz="0" w:space="0" w:color="auto"/>
                                <w:left w:val="none" w:sz="0" w:space="0" w:color="auto"/>
                                <w:bottom w:val="none" w:sz="0" w:space="0" w:color="auto"/>
                                <w:right w:val="none" w:sz="0" w:space="0" w:color="auto"/>
                              </w:divBdr>
                              <w:divsChild>
                                <w:div w:id="3926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2020-02-18T09:44:00Z</dcterms:created>
  <dcterms:modified xsi:type="dcterms:W3CDTF">2020-04-22T12:13:00Z</dcterms:modified>
</cp:coreProperties>
</file>