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461F2" w14:textId="77777777" w:rsidR="00E12E67" w:rsidRPr="00E12E67" w:rsidRDefault="00E12E67" w:rsidP="00E12E67">
      <w:pPr>
        <w:shd w:val="clear" w:color="auto" w:fill="FFFFFF"/>
        <w:spacing w:after="100" w:afterAutospacing="1"/>
        <w:outlineLvl w:val="0"/>
        <w:rPr>
          <w:rFonts w:ascii="FFKievitStdExtraBold" w:eastAsia="Times New Roman" w:hAnsi="FFKievitStdExtraBold" w:cs="Calibri"/>
          <w:color w:val="151A1E"/>
          <w:kern w:val="36"/>
          <w:sz w:val="48"/>
          <w:szCs w:val="48"/>
        </w:rPr>
      </w:pPr>
      <w:r w:rsidRPr="00E12E67">
        <w:rPr>
          <w:rFonts w:ascii="FFKievitStdExtraBold" w:eastAsia="Times New Roman" w:hAnsi="FFKievitStdExtraBold" w:cs="Calibri"/>
          <w:color w:val="151A1E"/>
          <w:kern w:val="36"/>
          <w:sz w:val="48"/>
          <w:szCs w:val="48"/>
        </w:rPr>
        <w:t>ESAs announce multilateral agreement on the exchange of information between the ECB and AML/CFT competent authorities</w:t>
      </w:r>
    </w:p>
    <w:p w14:paraId="53DE7341" w14:textId="77777777" w:rsidR="00E12E67" w:rsidRPr="00E12E67" w:rsidRDefault="00E12E67" w:rsidP="00E12E67">
      <w:pPr>
        <w:rPr>
          <w:rFonts w:ascii="FFKievitStdExtraBold" w:eastAsia="Times New Roman" w:hAnsi="FFKievitStdExtraBold" w:cs="Calibri"/>
          <w:caps/>
          <w:color w:val="151A1E"/>
        </w:rPr>
      </w:pPr>
      <w:r w:rsidRPr="00E12E67">
        <w:rPr>
          <w:rFonts w:ascii="FFKievitStdExtraBold" w:eastAsia="Times New Roman" w:hAnsi="FFKievitStdExtraBold" w:cs="Calibri"/>
          <w:caps/>
          <w:color w:val="151A1E"/>
        </w:rPr>
        <w:t>NEWS</w:t>
      </w:r>
    </w:p>
    <w:p w14:paraId="17F86580" w14:textId="77777777" w:rsidR="00E12E67" w:rsidRPr="00E12E67" w:rsidRDefault="00E12E67" w:rsidP="00E12E67">
      <w:pPr>
        <w:rPr>
          <w:rFonts w:ascii="Calibri" w:eastAsia="Times New Roman" w:hAnsi="Calibri" w:cs="Calibri"/>
          <w:color w:val="151A1E"/>
        </w:rPr>
      </w:pPr>
      <w:r w:rsidRPr="00E12E67">
        <w:rPr>
          <w:rFonts w:ascii="Calibri" w:eastAsia="Times New Roman" w:hAnsi="Calibri" w:cs="Calibri"/>
          <w:color w:val="151A1E"/>
        </w:rPr>
        <w:t> </w:t>
      </w:r>
    </w:p>
    <w:p w14:paraId="2F5A8DA8" w14:textId="77777777" w:rsidR="00E12E67" w:rsidRPr="00E12E67" w:rsidRDefault="00E12E67" w:rsidP="00E12E67">
      <w:pPr>
        <w:rPr>
          <w:rFonts w:ascii="Calibri" w:eastAsia="Times New Roman" w:hAnsi="Calibri" w:cs="Calibri"/>
          <w:caps/>
          <w:color w:val="151A1E"/>
        </w:rPr>
      </w:pPr>
      <w:r w:rsidRPr="00E12E67">
        <w:rPr>
          <w:rFonts w:ascii="Calibri" w:eastAsia="Times New Roman" w:hAnsi="Calibri" w:cs="Calibri"/>
          <w:caps/>
          <w:color w:val="151A1E"/>
        </w:rPr>
        <w:t>DATE:</w:t>
      </w:r>
    </w:p>
    <w:p w14:paraId="3FF93BAD" w14:textId="77777777" w:rsidR="00E12E67" w:rsidRPr="00E12E67" w:rsidRDefault="00E12E67" w:rsidP="00E12E67">
      <w:pPr>
        <w:rPr>
          <w:rFonts w:ascii="Calibri" w:eastAsia="Times New Roman" w:hAnsi="Calibri" w:cs="Calibri"/>
          <w:color w:val="151A1E"/>
        </w:rPr>
      </w:pPr>
      <w:r w:rsidRPr="00E12E67">
        <w:rPr>
          <w:rFonts w:ascii="Calibri" w:eastAsia="Times New Roman" w:hAnsi="Calibri" w:cs="Calibri"/>
          <w:color w:val="151A1E"/>
        </w:rPr>
        <w:t> </w:t>
      </w:r>
    </w:p>
    <w:p w14:paraId="577326ED" w14:textId="77777777" w:rsidR="00E12E67" w:rsidRPr="00E12E67" w:rsidRDefault="00E12E67" w:rsidP="00E12E67">
      <w:pPr>
        <w:rPr>
          <w:rFonts w:ascii="FFKievitStdExtraBold" w:eastAsia="Times New Roman" w:hAnsi="FFKievitStdExtraBold" w:cs="Calibri"/>
          <w:color w:val="151A1E"/>
        </w:rPr>
      </w:pPr>
      <w:r w:rsidRPr="00E12E67">
        <w:rPr>
          <w:rFonts w:ascii="FFKievitStdExtraBold" w:eastAsia="Times New Roman" w:hAnsi="FFKievitStdExtraBold" w:cs="Calibri"/>
          <w:color w:val="151A1E"/>
        </w:rPr>
        <w:t>15 Jan 2019</w:t>
      </w:r>
    </w:p>
    <w:p w14:paraId="77A92C15" w14:textId="77777777" w:rsidR="00E12E67" w:rsidRPr="00E12E67" w:rsidRDefault="00E12E67" w:rsidP="00E12E67">
      <w:pPr>
        <w:spacing w:after="100" w:afterAutospacing="1"/>
        <w:rPr>
          <w:rFonts w:ascii="Calibri" w:eastAsia="Times New Roman" w:hAnsi="Calibri" w:cs="Calibri"/>
          <w:color w:val="151A1E"/>
        </w:rPr>
      </w:pPr>
      <w:r w:rsidRPr="00E12E67">
        <w:rPr>
          <w:rFonts w:ascii="Calibri" w:eastAsia="Times New Roman" w:hAnsi="Calibri" w:cs="Calibri"/>
          <w:color w:val="151A1E"/>
        </w:rPr>
        <w:t>​</w:t>
      </w:r>
      <w:r w:rsidRPr="00A877A3">
        <w:rPr>
          <w:rFonts w:ascii="Calibri" w:eastAsia="Times New Roman" w:hAnsi="Calibri" w:cs="Calibri"/>
          <w:color w:val="151A1E"/>
          <w:highlight w:val="darkGray"/>
        </w:rPr>
        <w:t>The European Supervisory Authorities (ESAs) approved on 10 January 2019 the content of the </w:t>
      </w:r>
      <w:hyperlink r:id="rId4" w:history="1">
        <w:r w:rsidRPr="00A877A3">
          <w:rPr>
            <w:rFonts w:ascii="Calibri" w:eastAsia="Times New Roman" w:hAnsi="Calibri" w:cs="Calibri"/>
            <w:color w:val="355671"/>
            <w:highlight w:val="darkGray"/>
            <w:u w:val="single"/>
          </w:rPr>
          <w:t>Multilateral Agreement</w:t>
        </w:r>
      </w:hyperlink>
      <w:r w:rsidRPr="00A877A3">
        <w:rPr>
          <w:rFonts w:ascii="Calibri" w:eastAsia="Times New Roman" w:hAnsi="Calibri" w:cs="Calibri"/>
          <w:color w:val="151A1E"/>
          <w:highlight w:val="darkGray"/>
        </w:rPr>
        <w:t> on the practical modalities for exchange of information between the European Central Bank (ECB) and all competent authorities (CAs) responsible for supervising compliance of credit and financial institutions with anti-money laundering and countering the financing of terrorism (AML/CFT) obligations under the fourth Anti-Money Laundering Directive (AMLD4).</w:t>
      </w:r>
      <w:r w:rsidRPr="00E12E67">
        <w:rPr>
          <w:rFonts w:ascii="Calibri" w:eastAsia="Times New Roman" w:hAnsi="Calibri" w:cs="Calibri"/>
          <w:color w:val="151A1E"/>
        </w:rPr>
        <w:t xml:space="preserve"> </w:t>
      </w:r>
      <w:r w:rsidRPr="00A877A3">
        <w:rPr>
          <w:rFonts w:ascii="Calibri" w:eastAsia="Times New Roman" w:hAnsi="Calibri" w:cs="Calibri"/>
          <w:color w:val="151A1E"/>
          <w:highlight w:val="lightGray"/>
        </w:rPr>
        <w:t>The Agreement will create a clear framework for exchanging information between the ECB and CAs and potentially will enhance the effectiveness of their supervisory practices.</w:t>
      </w:r>
    </w:p>
    <w:p w14:paraId="300D279A" w14:textId="77777777" w:rsidR="00E12E67" w:rsidRPr="00E12E67" w:rsidRDefault="00E12E67" w:rsidP="00E12E67">
      <w:pPr>
        <w:spacing w:after="100" w:afterAutospacing="1"/>
        <w:rPr>
          <w:rFonts w:ascii="Calibri" w:eastAsia="Times New Roman" w:hAnsi="Calibri" w:cs="Calibri"/>
          <w:color w:val="151A1E"/>
        </w:rPr>
      </w:pPr>
      <w:r w:rsidRPr="00A877A3">
        <w:rPr>
          <w:rFonts w:ascii="Calibri" w:eastAsia="Times New Roman" w:hAnsi="Calibri" w:cs="Calibri"/>
          <w:color w:val="151A1E"/>
          <w:highlight w:val="darkGray"/>
        </w:rPr>
        <w:t>AMLD4 was amended by the AMLD5 in June 2018. These amendments also included a new Article 57</w:t>
      </w:r>
      <w:proofErr w:type="gramStart"/>
      <w:r w:rsidRPr="00A877A3">
        <w:rPr>
          <w:rFonts w:ascii="Calibri" w:eastAsia="Times New Roman" w:hAnsi="Calibri" w:cs="Calibri"/>
          <w:color w:val="151A1E"/>
          <w:highlight w:val="darkGray"/>
        </w:rPr>
        <w:t>a(</w:t>
      </w:r>
      <w:proofErr w:type="gramEnd"/>
      <w:r w:rsidRPr="00A877A3">
        <w:rPr>
          <w:rFonts w:ascii="Calibri" w:eastAsia="Times New Roman" w:hAnsi="Calibri" w:cs="Calibri"/>
          <w:color w:val="151A1E"/>
          <w:highlight w:val="darkGray"/>
        </w:rPr>
        <w:t>2), which requires the ESAs to support the conclusion of an agreement on the practical modalities for exchange of information between the ECB and CAs.</w:t>
      </w:r>
    </w:p>
    <w:p w14:paraId="03B51019" w14:textId="77777777" w:rsidR="00E12E67" w:rsidRPr="00E12E67" w:rsidRDefault="00E12E67" w:rsidP="00E12E67">
      <w:pPr>
        <w:spacing w:after="100" w:afterAutospacing="1"/>
        <w:rPr>
          <w:rFonts w:ascii="Calibri" w:eastAsia="Times New Roman" w:hAnsi="Calibri" w:cs="Calibri"/>
          <w:color w:val="151A1E"/>
        </w:rPr>
      </w:pPr>
      <w:r w:rsidRPr="00E12E67">
        <w:rPr>
          <w:rFonts w:ascii="Calibri" w:eastAsia="Times New Roman" w:hAnsi="Calibri" w:cs="Calibri"/>
          <w:color w:val="151A1E"/>
        </w:rPr>
        <w:t xml:space="preserve">This amendment is part of the EU legislator's </w:t>
      </w:r>
      <w:r w:rsidRPr="00A877A3">
        <w:rPr>
          <w:rFonts w:ascii="Calibri" w:eastAsia="Times New Roman" w:hAnsi="Calibri" w:cs="Calibri"/>
          <w:color w:val="151A1E"/>
          <w:highlight w:val="lightGray"/>
        </w:rPr>
        <w:t>wider efforts to enhance the cooperation and information exchange between prude</w:t>
      </w:r>
      <w:bookmarkStart w:id="0" w:name="_GoBack"/>
      <w:bookmarkEnd w:id="0"/>
      <w:r w:rsidRPr="00E12E67">
        <w:rPr>
          <w:rFonts w:ascii="Calibri" w:eastAsia="Times New Roman" w:hAnsi="Calibri" w:cs="Calibri"/>
          <w:color w:val="151A1E"/>
        </w:rPr>
        <w:t xml:space="preserve">ntial and AML/CFT supervisors through a clear legal mandate. To fulfil this mandate, the ESAs, together with the ECB and CAs, have developed this Multilateral Agreement, which contains provisions on the type of information and underlying process for exchanging it; confidentiality and data protection provisions; situations where the request for information can be refused; means of </w:t>
      </w:r>
      <w:proofErr w:type="spellStart"/>
      <w:r w:rsidRPr="00E12E67">
        <w:rPr>
          <w:rFonts w:ascii="Calibri" w:eastAsia="Times New Roman" w:hAnsi="Calibri" w:cs="Calibri"/>
          <w:color w:val="151A1E"/>
        </w:rPr>
        <w:t>communicaiton</w:t>
      </w:r>
      <w:proofErr w:type="spellEnd"/>
      <w:r w:rsidRPr="00E12E67">
        <w:rPr>
          <w:rFonts w:ascii="Calibri" w:eastAsia="Times New Roman" w:hAnsi="Calibri" w:cs="Calibri"/>
          <w:color w:val="151A1E"/>
        </w:rPr>
        <w:t xml:space="preserve"> and language used in the information exchange; the signing process; and the settlement of disputes procedures.</w:t>
      </w:r>
    </w:p>
    <w:p w14:paraId="543737B1" w14:textId="77777777" w:rsidR="00E12E67" w:rsidRPr="00E12E67" w:rsidRDefault="00E12E67" w:rsidP="00E12E67">
      <w:pPr>
        <w:spacing w:after="100" w:afterAutospacing="1"/>
        <w:jc w:val="both"/>
        <w:rPr>
          <w:rFonts w:ascii="Calibri" w:eastAsia="Times New Roman" w:hAnsi="Calibri" w:cs="Calibri"/>
          <w:color w:val="151A1E"/>
        </w:rPr>
      </w:pPr>
      <w:r w:rsidRPr="00E12E67">
        <w:rPr>
          <w:rFonts w:ascii="Calibri" w:eastAsia="Times New Roman" w:hAnsi="Calibri" w:cs="Calibri"/>
          <w:color w:val="151A1E"/>
        </w:rPr>
        <w:t> </w:t>
      </w:r>
    </w:p>
    <w:p w14:paraId="65606C5F" w14:textId="77777777" w:rsidR="00E12E67" w:rsidRPr="00E12E67" w:rsidRDefault="00E12E67" w:rsidP="00E12E67">
      <w:pPr>
        <w:spacing w:after="100" w:afterAutospacing="1"/>
        <w:jc w:val="both"/>
        <w:rPr>
          <w:rFonts w:ascii="Calibri" w:eastAsia="Times New Roman" w:hAnsi="Calibri" w:cs="Calibri"/>
          <w:color w:val="151A1E"/>
        </w:rPr>
      </w:pPr>
      <w:r w:rsidRPr="00E12E67">
        <w:rPr>
          <w:rFonts w:ascii="Calibri" w:eastAsia="Times New Roman" w:hAnsi="Calibri" w:cs="Calibri"/>
          <w:color w:val="151A1E"/>
        </w:rPr>
        <w:t>The Agreement was sent to the ECB and the CAs for signature.</w:t>
      </w:r>
    </w:p>
    <w:p w14:paraId="7BFFE53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FFKievitStdExtra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8C"/>
    <w:rsid w:val="0012318C"/>
    <w:rsid w:val="00453EED"/>
    <w:rsid w:val="00A877A3"/>
    <w:rsid w:val="00BE080D"/>
    <w:rsid w:val="00E1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74F37"/>
  <w14:defaultImageDpi w14:val="32767"/>
  <w15:chartTrackingRefBased/>
  <w15:docId w15:val="{9D41C69F-7C0B-EB41-9355-710B8DEF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12E6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E6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12E67"/>
  </w:style>
  <w:style w:type="paragraph" w:styleId="NormalWeb">
    <w:name w:val="Normal (Web)"/>
    <w:basedOn w:val="Normal"/>
    <w:uiPriority w:val="99"/>
    <w:semiHidden/>
    <w:unhideWhenUsed/>
    <w:rsid w:val="00E12E6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12E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1188">
      <w:bodyDiv w:val="1"/>
      <w:marLeft w:val="0"/>
      <w:marRight w:val="0"/>
      <w:marTop w:val="0"/>
      <w:marBottom w:val="0"/>
      <w:divBdr>
        <w:top w:val="none" w:sz="0" w:space="0" w:color="auto"/>
        <w:left w:val="none" w:sz="0" w:space="0" w:color="auto"/>
        <w:bottom w:val="none" w:sz="0" w:space="0" w:color="auto"/>
        <w:right w:val="none" w:sz="0" w:space="0" w:color="auto"/>
      </w:divBdr>
      <w:divsChild>
        <w:div w:id="202599407">
          <w:marLeft w:val="0"/>
          <w:marRight w:val="0"/>
          <w:marTop w:val="0"/>
          <w:marBottom w:val="0"/>
          <w:divBdr>
            <w:top w:val="none" w:sz="0" w:space="0" w:color="auto"/>
            <w:left w:val="none" w:sz="0" w:space="0" w:color="auto"/>
            <w:bottom w:val="none" w:sz="0" w:space="0" w:color="auto"/>
            <w:right w:val="none" w:sz="0" w:space="0" w:color="auto"/>
          </w:divBdr>
          <w:divsChild>
            <w:div w:id="2094205340">
              <w:marLeft w:val="0"/>
              <w:marRight w:val="0"/>
              <w:marTop w:val="0"/>
              <w:marBottom w:val="0"/>
              <w:divBdr>
                <w:top w:val="none" w:sz="0" w:space="0" w:color="auto"/>
                <w:left w:val="none" w:sz="0" w:space="0" w:color="auto"/>
                <w:bottom w:val="none" w:sz="0" w:space="0" w:color="auto"/>
                <w:right w:val="none" w:sz="0" w:space="0" w:color="auto"/>
              </w:divBdr>
            </w:div>
            <w:div w:id="609623866">
              <w:marLeft w:val="0"/>
              <w:marRight w:val="0"/>
              <w:marTop w:val="0"/>
              <w:marBottom w:val="0"/>
              <w:divBdr>
                <w:top w:val="none" w:sz="0" w:space="0" w:color="auto"/>
                <w:left w:val="none" w:sz="0" w:space="0" w:color="auto"/>
                <w:bottom w:val="none" w:sz="0" w:space="0" w:color="auto"/>
                <w:right w:val="none" w:sz="0" w:space="0" w:color="auto"/>
              </w:divBdr>
              <w:divsChild>
                <w:div w:id="617570785">
                  <w:marLeft w:val="0"/>
                  <w:marRight w:val="0"/>
                  <w:marTop w:val="0"/>
                  <w:marBottom w:val="0"/>
                  <w:divBdr>
                    <w:top w:val="none" w:sz="0" w:space="0" w:color="auto"/>
                    <w:left w:val="none" w:sz="0" w:space="0" w:color="auto"/>
                    <w:bottom w:val="none" w:sz="0" w:space="0" w:color="auto"/>
                    <w:right w:val="none" w:sz="0" w:space="0" w:color="auto"/>
                  </w:divBdr>
                  <w:divsChild>
                    <w:div w:id="301614345">
                      <w:marLeft w:val="0"/>
                      <w:marRight w:val="0"/>
                      <w:marTop w:val="0"/>
                      <w:marBottom w:val="0"/>
                      <w:divBdr>
                        <w:top w:val="none" w:sz="0" w:space="0" w:color="auto"/>
                        <w:left w:val="none" w:sz="0" w:space="0" w:color="auto"/>
                        <w:bottom w:val="none" w:sz="0" w:space="0" w:color="auto"/>
                        <w:right w:val="single" w:sz="6" w:space="0" w:color="151A1E"/>
                      </w:divBdr>
                      <w:divsChild>
                        <w:div w:id="907493154">
                          <w:marLeft w:val="60"/>
                          <w:marRight w:val="0"/>
                          <w:marTop w:val="0"/>
                          <w:marBottom w:val="0"/>
                          <w:divBdr>
                            <w:top w:val="none" w:sz="0" w:space="0" w:color="auto"/>
                            <w:left w:val="none" w:sz="0" w:space="0" w:color="auto"/>
                            <w:bottom w:val="none" w:sz="0" w:space="0" w:color="auto"/>
                            <w:right w:val="none" w:sz="0" w:space="0" w:color="auto"/>
                          </w:divBdr>
                        </w:div>
                      </w:divsChild>
                    </w:div>
                    <w:div w:id="1768500441">
                      <w:marLeft w:val="0"/>
                      <w:marRight w:val="0"/>
                      <w:marTop w:val="0"/>
                      <w:marBottom w:val="0"/>
                      <w:divBdr>
                        <w:top w:val="none" w:sz="0" w:space="0" w:color="auto"/>
                        <w:left w:val="none" w:sz="0" w:space="0" w:color="auto"/>
                        <w:bottom w:val="none" w:sz="0" w:space="0" w:color="auto"/>
                        <w:right w:val="none" w:sz="0" w:space="0" w:color="auto"/>
                      </w:divBdr>
                      <w:divsChild>
                        <w:div w:id="2003921700">
                          <w:marLeft w:val="0"/>
                          <w:marRight w:val="0"/>
                          <w:marTop w:val="0"/>
                          <w:marBottom w:val="0"/>
                          <w:divBdr>
                            <w:top w:val="none" w:sz="0" w:space="0" w:color="auto"/>
                            <w:left w:val="none" w:sz="0" w:space="0" w:color="auto"/>
                            <w:bottom w:val="none" w:sz="0" w:space="0" w:color="auto"/>
                            <w:right w:val="none" w:sz="0" w:space="0" w:color="auto"/>
                          </w:divBdr>
                        </w:div>
                        <w:div w:id="150767145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42261">
          <w:marLeft w:val="0"/>
          <w:marRight w:val="0"/>
          <w:marTop w:val="0"/>
          <w:marBottom w:val="0"/>
          <w:divBdr>
            <w:top w:val="none" w:sz="0" w:space="0" w:color="auto"/>
            <w:left w:val="none" w:sz="0" w:space="0" w:color="auto"/>
            <w:bottom w:val="none" w:sz="0" w:space="0" w:color="auto"/>
            <w:right w:val="none" w:sz="0" w:space="0" w:color="auto"/>
          </w:divBdr>
          <w:divsChild>
            <w:div w:id="276445707">
              <w:marLeft w:val="0"/>
              <w:marRight w:val="0"/>
              <w:marTop w:val="0"/>
              <w:marBottom w:val="0"/>
              <w:divBdr>
                <w:top w:val="none" w:sz="0" w:space="0" w:color="auto"/>
                <w:left w:val="none" w:sz="0" w:space="0" w:color="auto"/>
                <w:bottom w:val="none" w:sz="0" w:space="0" w:color="auto"/>
                <w:right w:val="none" w:sz="0" w:space="0" w:color="auto"/>
              </w:divBdr>
              <w:divsChild>
                <w:div w:id="2094276417">
                  <w:marLeft w:val="0"/>
                  <w:marRight w:val="0"/>
                  <w:marTop w:val="0"/>
                  <w:marBottom w:val="0"/>
                  <w:divBdr>
                    <w:top w:val="none" w:sz="0" w:space="0" w:color="auto"/>
                    <w:left w:val="none" w:sz="0" w:space="0" w:color="auto"/>
                    <w:bottom w:val="none" w:sz="0" w:space="0" w:color="auto"/>
                    <w:right w:val="none" w:sz="0" w:space="0" w:color="auto"/>
                  </w:divBdr>
                  <w:divsChild>
                    <w:div w:id="284505242">
                      <w:marLeft w:val="0"/>
                      <w:marRight w:val="0"/>
                      <w:marTop w:val="0"/>
                      <w:marBottom w:val="0"/>
                      <w:divBdr>
                        <w:top w:val="none" w:sz="0" w:space="0" w:color="auto"/>
                        <w:left w:val="none" w:sz="0" w:space="0" w:color="auto"/>
                        <w:bottom w:val="none" w:sz="0" w:space="0" w:color="auto"/>
                        <w:right w:val="none" w:sz="0" w:space="0" w:color="auto"/>
                      </w:divBdr>
                      <w:divsChild>
                        <w:div w:id="1721858160">
                          <w:marLeft w:val="0"/>
                          <w:marRight w:val="0"/>
                          <w:marTop w:val="0"/>
                          <w:marBottom w:val="0"/>
                          <w:divBdr>
                            <w:top w:val="none" w:sz="0" w:space="0" w:color="auto"/>
                            <w:left w:val="none" w:sz="0" w:space="0" w:color="auto"/>
                            <w:bottom w:val="none" w:sz="0" w:space="0" w:color="auto"/>
                            <w:right w:val="none" w:sz="0" w:space="0" w:color="auto"/>
                          </w:divBdr>
                          <w:divsChild>
                            <w:div w:id="2033918607">
                              <w:marLeft w:val="0"/>
                              <w:marRight w:val="0"/>
                              <w:marTop w:val="0"/>
                              <w:marBottom w:val="0"/>
                              <w:divBdr>
                                <w:top w:val="none" w:sz="0" w:space="0" w:color="auto"/>
                                <w:left w:val="none" w:sz="0" w:space="0" w:color="auto"/>
                                <w:bottom w:val="none" w:sz="0" w:space="0" w:color="auto"/>
                                <w:right w:val="none" w:sz="0" w:space="0" w:color="auto"/>
                              </w:divBdr>
                              <w:divsChild>
                                <w:div w:id="194470588">
                                  <w:marLeft w:val="0"/>
                                  <w:marRight w:val="0"/>
                                  <w:marTop w:val="0"/>
                                  <w:marBottom w:val="0"/>
                                  <w:divBdr>
                                    <w:top w:val="none" w:sz="0" w:space="0" w:color="auto"/>
                                    <w:left w:val="none" w:sz="0" w:space="0" w:color="auto"/>
                                    <w:bottom w:val="none" w:sz="0" w:space="0" w:color="auto"/>
                                    <w:right w:val="none" w:sz="0" w:space="0" w:color="auto"/>
                                  </w:divBdr>
                                  <w:divsChild>
                                    <w:div w:id="1036928886">
                                      <w:marLeft w:val="0"/>
                                      <w:marRight w:val="0"/>
                                      <w:marTop w:val="0"/>
                                      <w:marBottom w:val="0"/>
                                      <w:divBdr>
                                        <w:top w:val="none" w:sz="0" w:space="0" w:color="auto"/>
                                        <w:left w:val="none" w:sz="0" w:space="0" w:color="auto"/>
                                        <w:bottom w:val="none" w:sz="0" w:space="0" w:color="auto"/>
                                        <w:right w:val="none" w:sz="0" w:space="0" w:color="auto"/>
                                      </w:divBdr>
                                      <w:divsChild>
                                        <w:div w:id="12596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iopa.europa.eu/sites/default/files/publications/pdfs/agreement_between_cas_and_the_ecb_on_exchange_of_information_on_am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2020-02-18T10:27:00Z</dcterms:created>
  <dcterms:modified xsi:type="dcterms:W3CDTF">2020-04-22T12:15:00Z</dcterms:modified>
</cp:coreProperties>
</file>