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8ED9" w14:textId="77777777" w:rsidR="00E50EA0" w:rsidRPr="00E50EA0" w:rsidRDefault="00E50EA0" w:rsidP="00E50EA0">
      <w:pPr>
        <w:shd w:val="clear" w:color="auto" w:fill="FFFFFF"/>
        <w:spacing w:after="100" w:afterAutospacing="1"/>
        <w:outlineLvl w:val="0"/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</w:pPr>
      <w:r w:rsidRPr="00E50EA0"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  <w:t>EIOPA seeks evidence on integration of sustainability risks in Solvency II</w:t>
      </w:r>
    </w:p>
    <w:p w14:paraId="36830335" w14:textId="77777777" w:rsidR="00E50EA0" w:rsidRPr="00E50EA0" w:rsidRDefault="00E50EA0" w:rsidP="00E50EA0">
      <w:pPr>
        <w:rPr>
          <w:rFonts w:ascii="FFKievitStdExtraBold" w:eastAsia="Times New Roman" w:hAnsi="FFKievitStdExtraBold" w:cs="Calibri"/>
          <w:caps/>
          <w:color w:val="151A1E"/>
        </w:rPr>
      </w:pPr>
      <w:r w:rsidRPr="00E50EA0">
        <w:rPr>
          <w:rFonts w:ascii="FFKievitStdExtraBold" w:eastAsia="Times New Roman" w:hAnsi="FFKievitStdExtraBold" w:cs="Calibri"/>
          <w:caps/>
          <w:color w:val="151A1E"/>
        </w:rPr>
        <w:t>NEWS</w:t>
      </w:r>
    </w:p>
    <w:p w14:paraId="5B1EE311" w14:textId="77777777" w:rsidR="00E50EA0" w:rsidRPr="00E50EA0" w:rsidRDefault="00E50EA0" w:rsidP="00E50EA0">
      <w:pPr>
        <w:rPr>
          <w:rFonts w:ascii="Calibri" w:eastAsia="Times New Roman" w:hAnsi="Calibri" w:cs="Calibri"/>
          <w:color w:val="151A1E"/>
        </w:rPr>
      </w:pPr>
      <w:r w:rsidRPr="00E50EA0">
        <w:rPr>
          <w:rFonts w:ascii="Calibri" w:eastAsia="Times New Roman" w:hAnsi="Calibri" w:cs="Calibri"/>
          <w:color w:val="151A1E"/>
        </w:rPr>
        <w:t> </w:t>
      </w:r>
    </w:p>
    <w:p w14:paraId="4AF9E2B6" w14:textId="77777777" w:rsidR="00E50EA0" w:rsidRPr="00E50EA0" w:rsidRDefault="00E50EA0" w:rsidP="00E50EA0">
      <w:pPr>
        <w:rPr>
          <w:rFonts w:ascii="Calibri" w:eastAsia="Times New Roman" w:hAnsi="Calibri" w:cs="Calibri"/>
          <w:caps/>
          <w:color w:val="151A1E"/>
        </w:rPr>
      </w:pPr>
      <w:r w:rsidRPr="00E50EA0">
        <w:rPr>
          <w:rFonts w:ascii="Calibri" w:eastAsia="Times New Roman" w:hAnsi="Calibri" w:cs="Calibri"/>
          <w:caps/>
          <w:color w:val="151A1E"/>
        </w:rPr>
        <w:t>DATE:</w:t>
      </w:r>
    </w:p>
    <w:p w14:paraId="6F7B2A4B" w14:textId="77777777" w:rsidR="00E50EA0" w:rsidRPr="00E50EA0" w:rsidRDefault="00E50EA0" w:rsidP="00E50EA0">
      <w:pPr>
        <w:rPr>
          <w:rFonts w:ascii="Calibri" w:eastAsia="Times New Roman" w:hAnsi="Calibri" w:cs="Calibri"/>
          <w:color w:val="151A1E"/>
        </w:rPr>
      </w:pPr>
      <w:r w:rsidRPr="00E50EA0">
        <w:rPr>
          <w:rFonts w:ascii="Calibri" w:eastAsia="Times New Roman" w:hAnsi="Calibri" w:cs="Calibri"/>
          <w:color w:val="151A1E"/>
        </w:rPr>
        <w:t> </w:t>
      </w:r>
    </w:p>
    <w:p w14:paraId="631278B4" w14:textId="77777777" w:rsidR="00E50EA0" w:rsidRPr="00E50EA0" w:rsidRDefault="00E50EA0" w:rsidP="00E50EA0">
      <w:pPr>
        <w:rPr>
          <w:rFonts w:ascii="FFKievitStdExtraBold" w:eastAsia="Times New Roman" w:hAnsi="FFKievitStdExtraBold" w:cs="Calibri"/>
          <w:color w:val="151A1E"/>
        </w:rPr>
      </w:pPr>
      <w:r w:rsidRPr="00E50EA0">
        <w:rPr>
          <w:rFonts w:ascii="FFKievitStdExtraBold" w:eastAsia="Times New Roman" w:hAnsi="FFKievitStdExtraBold" w:cs="Calibri"/>
          <w:color w:val="151A1E"/>
        </w:rPr>
        <w:t>16 Jan 2019</w:t>
      </w:r>
    </w:p>
    <w:p w14:paraId="56AD7C2A" w14:textId="77777777" w:rsidR="00E50EA0" w:rsidRPr="00A039E9" w:rsidRDefault="00E50EA0" w:rsidP="00E50EA0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  <w:highlight w:val="darkGray"/>
        </w:rPr>
      </w:pPr>
      <w:r w:rsidRPr="00E50EA0">
        <w:rPr>
          <w:rFonts w:ascii="Calibri" w:eastAsia="Times New Roman" w:hAnsi="Calibri" w:cs="Calibri"/>
          <w:color w:val="151A1E"/>
        </w:rPr>
        <w:t>​</w:t>
      </w:r>
      <w:r w:rsidRPr="00A039E9">
        <w:rPr>
          <w:rFonts w:ascii="Calibri" w:eastAsia="Times New Roman" w:hAnsi="Calibri" w:cs="Calibri"/>
          <w:color w:val="151A1E"/>
          <w:highlight w:val="darkGray"/>
        </w:rPr>
        <w:t>Market participants to provide evidence on the integration of sustainability risks in investment and underwriting practices</w:t>
      </w:r>
    </w:p>
    <w:p w14:paraId="58812AE0" w14:textId="77777777" w:rsidR="00E50EA0" w:rsidRPr="00A039E9" w:rsidRDefault="00E50EA0" w:rsidP="00E50EA0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  <w:highlight w:val="darkGray"/>
        </w:rPr>
      </w:pPr>
      <w:r w:rsidRPr="00A039E9">
        <w:rPr>
          <w:rFonts w:ascii="Calibri" w:eastAsia="Times New Roman" w:hAnsi="Calibri" w:cs="Calibri"/>
          <w:color w:val="151A1E"/>
          <w:highlight w:val="darkGray"/>
        </w:rPr>
        <w:t>Call for Evidence part of EIOPA's action plan on sustainable finance.</w:t>
      </w:r>
    </w:p>
    <w:p w14:paraId="6E56C87C" w14:textId="77777777" w:rsidR="00E50EA0" w:rsidRPr="00E50EA0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039E9">
        <w:rPr>
          <w:rFonts w:ascii="Calibri" w:eastAsia="Times New Roman" w:hAnsi="Calibri" w:cs="Calibri"/>
          <w:color w:val="151A1E"/>
          <w:highlight w:val="darkGray"/>
        </w:rPr>
        <w:t>The European Insurance and Occupational Pensions Authority (EIOPA) today issued a Call for Evidence to collect information from market participants on the integration of sustainability risks and factors in the prudential assessment of assets and liabilities for insurers and (re)insurers.</w:t>
      </w:r>
    </w:p>
    <w:p w14:paraId="12563995" w14:textId="77777777" w:rsidR="00E50EA0" w:rsidRPr="00E50EA0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039E9">
        <w:rPr>
          <w:rFonts w:ascii="Calibri" w:eastAsia="Times New Roman" w:hAnsi="Calibri" w:cs="Calibri"/>
          <w:color w:val="151A1E"/>
          <w:highlight w:val="darkGray"/>
        </w:rPr>
        <w:t>In its call for Opinion, the European Commission asked EIOPA to assess whether Solvency II presents any inherent incentives and/or disincentives to sustainable investment.</w:t>
      </w:r>
    </w:p>
    <w:p w14:paraId="10EBB869" w14:textId="77777777" w:rsidR="00E50EA0" w:rsidRPr="00A039E9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  <w:highlight w:val="darkGray"/>
        </w:rPr>
      </w:pPr>
      <w:r w:rsidRPr="00A039E9">
        <w:rPr>
          <w:rFonts w:ascii="Calibri" w:eastAsia="Times New Roman" w:hAnsi="Calibri" w:cs="Calibri"/>
          <w:color w:val="151A1E"/>
          <w:highlight w:val="darkGray"/>
        </w:rPr>
        <w:t xml:space="preserve">With this Call for Evidence EIOPA will </w:t>
      </w:r>
      <w:proofErr w:type="spellStart"/>
      <w:r w:rsidRPr="00A039E9">
        <w:rPr>
          <w:rFonts w:ascii="Calibri" w:eastAsia="Times New Roman" w:hAnsi="Calibri" w:cs="Calibri"/>
          <w:color w:val="151A1E"/>
          <w:highlight w:val="darkGray"/>
        </w:rPr>
        <w:t>analyse</w:t>
      </w:r>
      <w:proofErr w:type="spellEnd"/>
      <w:r w:rsidRPr="00A039E9">
        <w:rPr>
          <w:rFonts w:ascii="Calibri" w:eastAsia="Times New Roman" w:hAnsi="Calibri" w:cs="Calibri"/>
          <w:color w:val="151A1E"/>
          <w:highlight w:val="darkGray"/>
        </w:rPr>
        <w:t xml:space="preserve"> how sustainability risks affect (re)insurers' investments, with particular focus on climate change and collect market practices on insurance underwriting.</w:t>
      </w:r>
    </w:p>
    <w:p w14:paraId="3E0E5F39" w14:textId="77777777" w:rsidR="00E50EA0" w:rsidRPr="00E50EA0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039E9">
        <w:rPr>
          <w:rFonts w:ascii="Calibri" w:eastAsia="Times New Roman" w:hAnsi="Calibri" w:cs="Calibri"/>
          <w:color w:val="151A1E"/>
          <w:highlight w:val="darkGray"/>
        </w:rPr>
        <w:t>To support EIOPA's analysis, National Competent Authorities will collect information from individual undertakings within their jurisdiction.</w:t>
      </w:r>
    </w:p>
    <w:p w14:paraId="4867E7B2" w14:textId="77777777" w:rsidR="00E50EA0" w:rsidRPr="00A039E9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bookmarkStart w:id="0" w:name="_GoBack"/>
      <w:bookmarkEnd w:id="0"/>
      <w:r w:rsidRPr="00A039E9">
        <w:rPr>
          <w:rFonts w:ascii="Calibri" w:eastAsia="Times New Roman" w:hAnsi="Calibri" w:cs="Calibri"/>
          <w:color w:val="151A1E"/>
          <w:highlight w:val="yellow"/>
        </w:rPr>
        <w:t>Based on the collected evidence and analysis EIOPA will prepare the draft Opinion for consultation during the second half of 2019 for submission to the European Commission in Q3/2019.</w:t>
      </w:r>
    </w:p>
    <w:p w14:paraId="55307746" w14:textId="77777777" w:rsidR="00E50EA0" w:rsidRPr="00E50EA0" w:rsidRDefault="00E50EA0" w:rsidP="00E50EA0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039E9">
        <w:rPr>
          <w:rFonts w:ascii="Calibri" w:eastAsia="Times New Roman" w:hAnsi="Calibri" w:cs="Calibri"/>
          <w:color w:val="151A1E"/>
          <w:highlight w:val="yellow"/>
        </w:rPr>
        <w:t xml:space="preserve">The deadline for submission to this Call for Evidence is Friday, 8 March 2019 at 23:59 </w:t>
      </w:r>
      <w:proofErr w:type="spellStart"/>
      <w:r w:rsidRPr="00A039E9">
        <w:rPr>
          <w:rFonts w:ascii="Calibri" w:eastAsia="Times New Roman" w:hAnsi="Calibri" w:cs="Calibri"/>
          <w:color w:val="151A1E"/>
          <w:highlight w:val="yellow"/>
        </w:rPr>
        <w:t>hrs</w:t>
      </w:r>
      <w:proofErr w:type="spellEnd"/>
      <w:r w:rsidRPr="00A039E9">
        <w:rPr>
          <w:rFonts w:ascii="Calibri" w:eastAsia="Times New Roman" w:hAnsi="Calibri" w:cs="Calibri"/>
          <w:color w:val="151A1E"/>
          <w:highlight w:val="yellow"/>
        </w:rPr>
        <w:t xml:space="preserve"> (CET). Submissions received after this deadline will not be considered.</w:t>
      </w:r>
      <w:r w:rsidRPr="00A039E9">
        <w:rPr>
          <w:rFonts w:ascii="Calibri" w:eastAsia="Times New Roman" w:hAnsi="Calibri" w:cs="Calibri"/>
          <w:color w:val="151A1E"/>
          <w:highlight w:val="yellow"/>
        </w:rPr>
        <w:br/>
      </w:r>
      <w:r w:rsidRPr="00A039E9">
        <w:rPr>
          <w:rFonts w:ascii="Calibri" w:eastAsia="Times New Roman" w:hAnsi="Calibri" w:cs="Calibri"/>
          <w:color w:val="151A1E"/>
          <w:highlight w:val="yellow"/>
        </w:rPr>
        <w:br/>
      </w:r>
      <w:r w:rsidRPr="00A039E9">
        <w:rPr>
          <w:rFonts w:ascii="Calibri" w:eastAsia="Times New Roman" w:hAnsi="Calibri" w:cs="Calibri"/>
          <w:color w:val="151A1E"/>
          <w:highlight w:val="yellow"/>
        </w:rPr>
        <w:br/>
      </w:r>
      <w:r w:rsidRPr="00A039E9">
        <w:rPr>
          <w:rFonts w:ascii="Calibri" w:eastAsia="Times New Roman" w:hAnsi="Calibri" w:cs="Calibri"/>
          <w:color w:val="151A1E"/>
          <w:highlight w:val="yellow"/>
        </w:rPr>
        <w:br/>
        <w:t>Further details about EIOPA's Action Plan can be obtained </w:t>
      </w:r>
      <w:hyperlink r:id="rId5" w:history="1">
        <w:r w:rsidRPr="00A039E9">
          <w:rPr>
            <w:rFonts w:ascii="Calibri" w:eastAsia="Times New Roman" w:hAnsi="Calibri" w:cs="Calibri"/>
            <w:color w:val="355671"/>
            <w:highlight w:val="yellow"/>
            <w:u w:val="single"/>
          </w:rPr>
          <w:t>here</w:t>
        </w:r>
      </w:hyperlink>
      <w:r w:rsidRPr="00A039E9">
        <w:rPr>
          <w:rFonts w:ascii="Calibri" w:eastAsia="Times New Roman" w:hAnsi="Calibri" w:cs="Calibri"/>
          <w:color w:val="151A1E"/>
          <w:highlight w:val="yellow"/>
        </w:rPr>
        <w:t>.</w:t>
      </w:r>
    </w:p>
    <w:p w14:paraId="2AA0F68A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FKievitStdExtra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E4329"/>
    <w:multiLevelType w:val="multilevel"/>
    <w:tmpl w:val="94B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A0"/>
    <w:rsid w:val="00453EED"/>
    <w:rsid w:val="00A039E9"/>
    <w:rsid w:val="00BE080D"/>
    <w:rsid w:val="00E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0E52E"/>
  <w14:defaultImageDpi w14:val="32767"/>
  <w15:chartTrackingRefBased/>
  <w15:docId w15:val="{92AE29FC-9798-924A-B034-E69D745B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E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0EA0"/>
  </w:style>
  <w:style w:type="paragraph" w:styleId="NormalWeb">
    <w:name w:val="Normal (Web)"/>
    <w:basedOn w:val="Normal"/>
    <w:uiPriority w:val="99"/>
    <w:semiHidden/>
    <w:unhideWhenUsed/>
    <w:rsid w:val="00E50E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0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11125551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30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4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iopa.europa.eu/browse/sustainable-finance_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2020-02-18T10:26:00Z</dcterms:created>
  <dcterms:modified xsi:type="dcterms:W3CDTF">2020-04-22T12:17:00Z</dcterms:modified>
</cp:coreProperties>
</file>