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B1229" w14:textId="77777777" w:rsidR="00527FD3" w:rsidRPr="00527FD3" w:rsidRDefault="00527FD3" w:rsidP="00527FD3">
      <w:pPr>
        <w:outlineLvl w:val="0"/>
        <w:rPr>
          <w:rFonts w:ascii="Verdana" w:eastAsia="Times New Roman" w:hAnsi="Verdana" w:cs="Times New Roman"/>
          <w:color w:val="000000"/>
          <w:kern w:val="36"/>
          <w:sz w:val="48"/>
          <w:szCs w:val="48"/>
        </w:rPr>
      </w:pPr>
      <w:r w:rsidRPr="00527FD3">
        <w:rPr>
          <w:rFonts w:ascii="Verdana" w:eastAsia="Times New Roman" w:hAnsi="Verdana" w:cs="Times New Roman"/>
          <w:color w:val="000000"/>
          <w:kern w:val="36"/>
          <w:sz w:val="48"/>
          <w:szCs w:val="48"/>
        </w:rPr>
        <w:t xml:space="preserve">Launch of international pilot </w:t>
      </w:r>
      <w:proofErr w:type="spellStart"/>
      <w:r w:rsidRPr="00527FD3">
        <w:rPr>
          <w:rFonts w:ascii="Verdana" w:eastAsia="Times New Roman" w:hAnsi="Verdana" w:cs="Times New Roman"/>
          <w:color w:val="000000"/>
          <w:kern w:val="36"/>
          <w:sz w:val="48"/>
          <w:szCs w:val="48"/>
        </w:rPr>
        <w:t>programme</w:t>
      </w:r>
      <w:proofErr w:type="spellEnd"/>
      <w:r w:rsidRPr="00527FD3">
        <w:rPr>
          <w:rFonts w:ascii="Verdana" w:eastAsia="Times New Roman" w:hAnsi="Verdana" w:cs="Times New Roman"/>
          <w:color w:val="000000"/>
          <w:kern w:val="36"/>
          <w:sz w:val="48"/>
          <w:szCs w:val="48"/>
        </w:rPr>
        <w:t xml:space="preserve"> on inspection of manufacturers of sterile medicines</w:t>
      </w:r>
    </w:p>
    <w:p w14:paraId="7F3465AA" w14:textId="77777777" w:rsidR="00527FD3" w:rsidRPr="00527FD3" w:rsidRDefault="00527FD3" w:rsidP="00527FD3">
      <w:pPr>
        <w:rPr>
          <w:rFonts w:ascii="Times New Roman" w:eastAsia="Times New Roman" w:hAnsi="Times New Roman" w:cs="Times New Roman"/>
        </w:rPr>
      </w:pPr>
      <w:r w:rsidRPr="00527FD3">
        <w:rPr>
          <w:rFonts w:ascii="Verdana" w:eastAsia="Times New Roman" w:hAnsi="Verdana" w:cs="Times New Roman"/>
          <w:color w:val="000000"/>
        </w:rPr>
        <w:t> </w:t>
      </w:r>
    </w:p>
    <w:p w14:paraId="182D227F" w14:textId="77777777" w:rsidR="00527FD3" w:rsidRPr="00527FD3" w:rsidRDefault="00527FD3" w:rsidP="00527FD3">
      <w:pPr>
        <w:rPr>
          <w:rFonts w:ascii="Verdana" w:eastAsia="Times New Roman" w:hAnsi="Verdana" w:cs="Times New Roman"/>
          <w:color w:val="000000"/>
        </w:rPr>
      </w:pPr>
      <w:r w:rsidRPr="00527FD3">
        <w:rPr>
          <w:rFonts w:ascii="Verdana" w:eastAsia="Times New Roman" w:hAnsi="Verdana" w:cs="Times New Roman"/>
          <w:color w:val="000000"/>
        </w:rPr>
        <w:t>Share</w:t>
      </w:r>
    </w:p>
    <w:p w14:paraId="16911FCE" w14:textId="77777777" w:rsidR="00527FD3" w:rsidRPr="00527FD3" w:rsidRDefault="00527FD3" w:rsidP="00527FD3">
      <w:pPr>
        <w:rPr>
          <w:rFonts w:ascii="Verdana" w:eastAsia="Times New Roman" w:hAnsi="Verdana" w:cs="Times New Roman"/>
          <w:color w:val="000000"/>
        </w:rPr>
      </w:pPr>
      <w:r w:rsidRPr="00527FD3">
        <w:rPr>
          <w:rFonts w:ascii="Verdana" w:eastAsia="Times New Roman" w:hAnsi="Verdana" w:cs="Times New Roman"/>
          <w:color w:val="000000"/>
        </w:rPr>
        <w:t>News 17/12/2019</w:t>
      </w:r>
    </w:p>
    <w:p w14:paraId="587DE81E" w14:textId="77777777" w:rsidR="00527FD3" w:rsidRPr="003E75C7" w:rsidRDefault="00527FD3" w:rsidP="00527FD3">
      <w:pPr>
        <w:spacing w:beforeAutospacing="1" w:afterAutospacing="1"/>
        <w:rPr>
          <w:rFonts w:ascii="Verdana" w:eastAsia="Times New Roman" w:hAnsi="Verdana" w:cs="Times New Roman"/>
          <w:color w:val="000000"/>
          <w:highlight w:val="lightGray"/>
        </w:rPr>
      </w:pPr>
      <w:r w:rsidRPr="003E75C7">
        <w:rPr>
          <w:rFonts w:ascii="Verdana" w:eastAsia="Times New Roman" w:hAnsi="Verdana" w:cs="Times New Roman"/>
          <w:color w:val="000000"/>
          <w:highlight w:val="lightGray"/>
        </w:rPr>
        <w:t>EMA and its European and international partners are launching a </w:t>
      </w:r>
      <w:hyperlink r:id="rId4" w:anchor="manufacturers-of-sterile-medicines-section" w:history="1">
        <w:r w:rsidRPr="003E75C7">
          <w:rPr>
            <w:rFonts w:ascii="Verdana" w:eastAsia="Times New Roman" w:hAnsi="Verdana" w:cs="Times New Roman"/>
            <w:color w:val="75197C"/>
            <w:highlight w:val="lightGray"/>
            <w:u w:val="single"/>
          </w:rPr>
          <w:t xml:space="preserve">pilot </w:t>
        </w:r>
        <w:proofErr w:type="spellStart"/>
        <w:r w:rsidRPr="003E75C7">
          <w:rPr>
            <w:rFonts w:ascii="Verdana" w:eastAsia="Times New Roman" w:hAnsi="Verdana" w:cs="Times New Roman"/>
            <w:color w:val="75197C"/>
            <w:highlight w:val="lightGray"/>
            <w:u w:val="single"/>
          </w:rPr>
          <w:t>programme</w:t>
        </w:r>
        <w:proofErr w:type="spellEnd"/>
        <w:r w:rsidRPr="003E75C7">
          <w:rPr>
            <w:rFonts w:ascii="Verdana" w:eastAsia="Times New Roman" w:hAnsi="Verdana" w:cs="Times New Roman"/>
            <w:color w:val="75197C"/>
            <w:highlight w:val="lightGray"/>
            <w:u w:val="single"/>
          </w:rPr>
          <w:t xml:space="preserve"> to increase their cooperation in the inspection of manufacturers of sterile medicines for human use</w:t>
        </w:r>
      </w:hyperlink>
      <w:r w:rsidRPr="003E75C7">
        <w:rPr>
          <w:rFonts w:ascii="Verdana" w:eastAsia="Times New Roman" w:hAnsi="Verdana" w:cs="Times New Roman"/>
          <w:color w:val="000000"/>
          <w:highlight w:val="lightGray"/>
        </w:rPr>
        <w:t>. This new initiative is built on the success of and experience gained from a similar collaboration, the </w:t>
      </w:r>
      <w:hyperlink r:id="rId5" w:anchor="active-substance-inspections-section" w:history="1">
        <w:r w:rsidRPr="003E75C7">
          <w:rPr>
            <w:rFonts w:ascii="Verdana" w:eastAsia="Times New Roman" w:hAnsi="Verdana" w:cs="Times New Roman"/>
            <w:color w:val="75197C"/>
            <w:highlight w:val="lightGray"/>
            <w:u w:val="single"/>
          </w:rPr>
          <w:t xml:space="preserve">international active pharmaceutical ingredients (APIs) inspection </w:t>
        </w:r>
        <w:proofErr w:type="spellStart"/>
        <w:r w:rsidRPr="003E75C7">
          <w:rPr>
            <w:rFonts w:ascii="Verdana" w:eastAsia="Times New Roman" w:hAnsi="Verdana" w:cs="Times New Roman"/>
            <w:color w:val="75197C"/>
            <w:highlight w:val="lightGray"/>
            <w:u w:val="single"/>
          </w:rPr>
          <w:t>programme</w:t>
        </w:r>
        <w:proofErr w:type="spellEnd"/>
      </w:hyperlink>
      <w:r w:rsidRPr="003E75C7">
        <w:rPr>
          <w:rFonts w:ascii="Verdana" w:eastAsia="Times New Roman" w:hAnsi="Verdana" w:cs="Times New Roman"/>
          <w:color w:val="000000"/>
          <w:highlight w:val="lightGray"/>
        </w:rPr>
        <w:t>. </w:t>
      </w:r>
    </w:p>
    <w:p w14:paraId="713EAF45" w14:textId="77777777" w:rsidR="00527FD3" w:rsidRPr="003E75C7" w:rsidRDefault="00527FD3" w:rsidP="00527FD3">
      <w:pPr>
        <w:spacing w:beforeAutospacing="1" w:afterAutospacing="1"/>
        <w:rPr>
          <w:rFonts w:ascii="Verdana" w:eastAsia="Times New Roman" w:hAnsi="Verdana" w:cs="Times New Roman"/>
          <w:color w:val="000000"/>
          <w:highlight w:val="lightGray"/>
        </w:rPr>
      </w:pPr>
      <w:r w:rsidRPr="003E75C7">
        <w:rPr>
          <w:rFonts w:ascii="Verdana" w:eastAsia="Times New Roman" w:hAnsi="Verdana" w:cs="Times New Roman"/>
          <w:color w:val="000000"/>
          <w:highlight w:val="lightGray"/>
        </w:rPr>
        <w:t>This collaboration will allow EMA, EU national authorities (France and the United Kingdom), the United States </w:t>
      </w:r>
      <w:hyperlink r:id="rId6" w:tgtFrame="_blank" w:history="1">
        <w:r w:rsidRPr="003E75C7">
          <w:rPr>
            <w:rFonts w:ascii="Verdana" w:eastAsia="Times New Roman" w:hAnsi="Verdana" w:cs="Times New Roman"/>
            <w:color w:val="75197C"/>
            <w:highlight w:val="lightGray"/>
            <w:u w:val="single"/>
          </w:rPr>
          <w:t>Food and Drug Administration (FDA)</w:t>
        </w:r>
      </w:hyperlink>
      <w:r w:rsidRPr="003E75C7">
        <w:rPr>
          <w:rFonts w:ascii="Verdana" w:eastAsia="Times New Roman" w:hAnsi="Verdana" w:cs="Times New Roman"/>
          <w:color w:val="000000"/>
          <w:highlight w:val="lightGray"/>
        </w:rPr>
        <w:t>, Australia's </w:t>
      </w:r>
      <w:hyperlink r:id="rId7" w:tgtFrame="_blank" w:history="1">
        <w:r w:rsidRPr="003E75C7">
          <w:rPr>
            <w:rFonts w:ascii="Verdana" w:eastAsia="Times New Roman" w:hAnsi="Verdana" w:cs="Times New Roman"/>
            <w:color w:val="75197C"/>
            <w:highlight w:val="lightGray"/>
            <w:u w:val="single"/>
          </w:rPr>
          <w:t>Therapeutic Goods Administration (TGA)</w:t>
        </w:r>
      </w:hyperlink>
      <w:r w:rsidRPr="003E75C7">
        <w:rPr>
          <w:rFonts w:ascii="Verdana" w:eastAsia="Times New Roman" w:hAnsi="Verdana" w:cs="Times New Roman"/>
          <w:color w:val="000000"/>
          <w:highlight w:val="lightGray"/>
        </w:rPr>
        <w:t>, </w:t>
      </w:r>
      <w:hyperlink r:id="rId8" w:tgtFrame="_blank" w:history="1">
        <w:r w:rsidRPr="003E75C7">
          <w:rPr>
            <w:rFonts w:ascii="Verdana" w:eastAsia="Times New Roman" w:hAnsi="Verdana" w:cs="Times New Roman"/>
            <w:color w:val="75197C"/>
            <w:highlight w:val="lightGray"/>
            <w:u w:val="single"/>
          </w:rPr>
          <w:t>Health Canada</w:t>
        </w:r>
      </w:hyperlink>
      <w:r w:rsidRPr="003E75C7">
        <w:rPr>
          <w:rFonts w:ascii="Verdana" w:eastAsia="Times New Roman" w:hAnsi="Verdana" w:cs="Times New Roman"/>
          <w:color w:val="000000"/>
          <w:highlight w:val="lightGray"/>
        </w:rPr>
        <w:t>, the Japanese </w:t>
      </w:r>
      <w:hyperlink r:id="rId9" w:tgtFrame="_blank" w:history="1">
        <w:r w:rsidRPr="003E75C7">
          <w:rPr>
            <w:rFonts w:ascii="Verdana" w:eastAsia="Times New Roman" w:hAnsi="Verdana" w:cs="Times New Roman"/>
            <w:color w:val="75197C"/>
            <w:highlight w:val="lightGray"/>
            <w:u w:val="single"/>
          </w:rPr>
          <w:t>Pharmaceuticals and Medical Devices Agency (PMDA)</w:t>
        </w:r>
      </w:hyperlink>
      <w:r w:rsidRPr="003E75C7">
        <w:rPr>
          <w:rFonts w:ascii="Verdana" w:eastAsia="Times New Roman" w:hAnsi="Verdana" w:cs="Times New Roman"/>
          <w:color w:val="000000"/>
          <w:highlight w:val="lightGray"/>
        </w:rPr>
        <w:t>, and the </w:t>
      </w:r>
      <w:hyperlink r:id="rId10" w:tgtFrame="_blank" w:history="1">
        <w:r w:rsidRPr="003E75C7">
          <w:rPr>
            <w:rFonts w:ascii="Verdana" w:eastAsia="Times New Roman" w:hAnsi="Verdana" w:cs="Times New Roman"/>
            <w:color w:val="75197C"/>
            <w:highlight w:val="lightGray"/>
            <w:u w:val="single"/>
          </w:rPr>
          <w:t>World Health Organization (WHO)</w:t>
        </w:r>
      </w:hyperlink>
      <w:r w:rsidRPr="003E75C7">
        <w:rPr>
          <w:rFonts w:ascii="Verdana" w:eastAsia="Times New Roman" w:hAnsi="Verdana" w:cs="Times New Roman"/>
          <w:color w:val="000000"/>
          <w:highlight w:val="lightGray"/>
        </w:rPr>
        <w:t> to share information on</w:t>
      </w:r>
      <w:hyperlink r:id="rId11" w:tgtFrame="_self" w:history="1">
        <w:r w:rsidRPr="003E75C7">
          <w:rPr>
            <w:rFonts w:ascii="Verdana" w:eastAsia="Times New Roman" w:hAnsi="Verdana" w:cs="Times New Roman"/>
            <w:color w:val="75197C"/>
            <w:highlight w:val="lightGray"/>
          </w:rPr>
          <w:t> </w:t>
        </w:r>
        <w:r w:rsidRPr="003E75C7">
          <w:rPr>
            <w:rFonts w:ascii="Verdana" w:eastAsia="Times New Roman" w:hAnsi="Verdana" w:cs="Times New Roman"/>
            <w:color w:val="75197C"/>
            <w:highlight w:val="lightGray"/>
            <w:u w:val="single"/>
          </w:rPr>
          <w:t>good manufacturing practice (GMP)</w:t>
        </w:r>
      </w:hyperlink>
      <w:r w:rsidRPr="003E75C7">
        <w:rPr>
          <w:rFonts w:ascii="Verdana" w:eastAsia="Times New Roman" w:hAnsi="Verdana" w:cs="Times New Roman"/>
          <w:color w:val="000000"/>
          <w:highlight w:val="lightGray"/>
        </w:rPr>
        <w:t xml:space="preserve"> inspections of manufacturers of sterile medicines who are located outside the participating countries, and to </w:t>
      </w:r>
      <w:proofErr w:type="spellStart"/>
      <w:r w:rsidRPr="003E75C7">
        <w:rPr>
          <w:rFonts w:ascii="Verdana" w:eastAsia="Times New Roman" w:hAnsi="Verdana" w:cs="Times New Roman"/>
          <w:color w:val="000000"/>
          <w:highlight w:val="lightGray"/>
        </w:rPr>
        <w:t>organise</w:t>
      </w:r>
      <w:proofErr w:type="spellEnd"/>
      <w:r w:rsidRPr="003E75C7">
        <w:rPr>
          <w:rFonts w:ascii="Verdana" w:eastAsia="Times New Roman" w:hAnsi="Verdana" w:cs="Times New Roman"/>
          <w:color w:val="000000"/>
          <w:highlight w:val="lightGray"/>
        </w:rPr>
        <w:t xml:space="preserve"> joint inspections for manufacturing sites of common interest.</w:t>
      </w:r>
    </w:p>
    <w:p w14:paraId="0CD6EB3F" w14:textId="77777777" w:rsidR="00527FD3" w:rsidRPr="00527FD3" w:rsidRDefault="00527FD3" w:rsidP="00527FD3">
      <w:pPr>
        <w:spacing w:beforeAutospacing="1" w:afterAutospacing="1"/>
        <w:rPr>
          <w:rFonts w:ascii="Verdana" w:eastAsia="Times New Roman" w:hAnsi="Verdana" w:cs="Times New Roman"/>
          <w:color w:val="000000"/>
        </w:rPr>
      </w:pPr>
      <w:r w:rsidRPr="003E75C7">
        <w:rPr>
          <w:rFonts w:ascii="Verdana" w:eastAsia="Times New Roman" w:hAnsi="Verdana" w:cs="Times New Roman"/>
          <w:color w:val="000000"/>
          <w:highlight w:val="lightGray"/>
        </w:rPr>
        <w:t>International collaboration in inspections has demonstrated its benefits in improving oversight of manufacturers and making best use of inspection resources worldwide, through mutual reliance between participating regulatory bodies, the reduction of duplication of inspections and the increase in the coverage of sites inspected worldwide. The objectives, scope and general principles of this new collaboration are laid out in the </w:t>
      </w:r>
      <w:r w:rsidRPr="003E75C7">
        <w:rPr>
          <w:rFonts w:ascii="Verdana" w:eastAsia="Times New Roman" w:hAnsi="Verdana" w:cs="Times New Roman"/>
          <w:color w:val="000000"/>
          <w:highlight w:val="lightGray"/>
        </w:rPr>
        <w:fldChar w:fldCharType="begin"/>
      </w:r>
      <w:r w:rsidRPr="003E75C7">
        <w:rPr>
          <w:rFonts w:ascii="Verdana" w:eastAsia="Times New Roman" w:hAnsi="Verdana" w:cs="Times New Roman"/>
          <w:color w:val="000000"/>
          <w:highlight w:val="lightGray"/>
        </w:rPr>
        <w:instrText xml:space="preserve"> INCLUDEPICTURE "/var/folders/nj/m875g2tj2j50hjqpdb11s_540000gn/T/com.microsoft.Word/WebArchiveCopyPasteTempFiles/application-pdf.svg" \* MERGEFORMATINET </w:instrText>
      </w:r>
      <w:r w:rsidRPr="003E75C7">
        <w:rPr>
          <w:rFonts w:ascii="Verdana" w:eastAsia="Times New Roman" w:hAnsi="Verdana" w:cs="Times New Roman"/>
          <w:color w:val="000000"/>
          <w:highlight w:val="lightGray"/>
        </w:rPr>
        <w:fldChar w:fldCharType="separate"/>
      </w:r>
      <w:r w:rsidRPr="003E75C7">
        <w:rPr>
          <w:rFonts w:ascii="Verdana" w:eastAsia="Times New Roman" w:hAnsi="Verdana" w:cs="Times New Roman"/>
          <w:noProof/>
          <w:color w:val="000000"/>
          <w:highlight w:val="lightGray"/>
        </w:rPr>
        <mc:AlternateContent>
          <mc:Choice Requires="wps">
            <w:drawing>
              <wp:inline distT="0" distB="0" distL="0" distR="0" wp14:anchorId="4D5643D4" wp14:editId="0174E8AC">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14675"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3E75C7">
        <w:rPr>
          <w:rFonts w:ascii="Verdana" w:eastAsia="Times New Roman" w:hAnsi="Verdana" w:cs="Times New Roman"/>
          <w:color w:val="000000"/>
          <w:highlight w:val="lightGray"/>
        </w:rPr>
        <w:fldChar w:fldCharType="end"/>
      </w:r>
      <w:hyperlink r:id="rId12" w:tgtFrame="_blank" w:history="1">
        <w:r w:rsidRPr="003E75C7">
          <w:rPr>
            <w:rFonts w:ascii="Verdana" w:eastAsia="Times New Roman" w:hAnsi="Verdana" w:cs="Times New Roman"/>
            <w:color w:val="75197C"/>
            <w:highlight w:val="lightGray"/>
            <w:u w:val="single"/>
          </w:rPr>
          <w:t xml:space="preserve">terms of reference for the </w:t>
        </w:r>
        <w:proofErr w:type="spellStart"/>
        <w:r w:rsidRPr="003E75C7">
          <w:rPr>
            <w:rFonts w:ascii="Verdana" w:eastAsia="Times New Roman" w:hAnsi="Verdana" w:cs="Times New Roman"/>
            <w:color w:val="75197C"/>
            <w:highlight w:val="lightGray"/>
            <w:u w:val="single"/>
          </w:rPr>
          <w:t>programme</w:t>
        </w:r>
        <w:proofErr w:type="spellEnd"/>
      </w:hyperlink>
      <w:r w:rsidRPr="003E75C7">
        <w:rPr>
          <w:rFonts w:ascii="Verdana" w:eastAsia="Times New Roman" w:hAnsi="Verdana" w:cs="Times New Roman"/>
          <w:color w:val="000000"/>
          <w:highlight w:val="lightGray"/>
        </w:rPr>
        <w:t> .</w:t>
      </w:r>
      <w:r w:rsidRPr="00527FD3">
        <w:rPr>
          <w:rFonts w:ascii="Verdana" w:eastAsia="Times New Roman" w:hAnsi="Verdana" w:cs="Times New Roman"/>
          <w:color w:val="000000"/>
        </w:rPr>
        <w:t> </w:t>
      </w:r>
    </w:p>
    <w:p w14:paraId="2C0B890F" w14:textId="77777777" w:rsidR="00527FD3" w:rsidRPr="00527FD3" w:rsidRDefault="00527FD3" w:rsidP="00527FD3">
      <w:pPr>
        <w:spacing w:beforeAutospacing="1" w:afterAutospacing="1"/>
        <w:rPr>
          <w:rFonts w:ascii="Verdana" w:eastAsia="Times New Roman" w:hAnsi="Verdana" w:cs="Times New Roman"/>
          <w:color w:val="000000"/>
        </w:rPr>
      </w:pPr>
      <w:r w:rsidRPr="003E75C7">
        <w:rPr>
          <w:rFonts w:ascii="Verdana" w:eastAsia="Times New Roman" w:hAnsi="Verdana" w:cs="Times New Roman"/>
          <w:color w:val="000000"/>
          <w:highlight w:val="darkGray"/>
        </w:rPr>
        <w:t>The products in scope are sterile </w:t>
      </w:r>
      <w:hyperlink r:id="rId13" w:tgtFrame="_blank" w:tooltip="A substance or combination of substances that is intended to treat, prevent or diagnose a disease, or to restore, correct or modify physiological functions by exerting a pharmacological, immunological or metabolic action." w:history="1">
        <w:r w:rsidRPr="003E75C7">
          <w:rPr>
            <w:rFonts w:ascii="Verdana" w:eastAsia="Times New Roman" w:hAnsi="Verdana" w:cs="Times New Roman"/>
            <w:color w:val="000000"/>
            <w:highlight w:val="darkGray"/>
            <w:u w:val="single"/>
          </w:rPr>
          <w:t>medicinal products</w:t>
        </w:r>
      </w:hyperlink>
      <w:r w:rsidRPr="003E75C7">
        <w:rPr>
          <w:rFonts w:ascii="Verdana" w:eastAsia="Times New Roman" w:hAnsi="Verdana" w:cs="Times New Roman"/>
          <w:color w:val="000000"/>
          <w:highlight w:val="darkGray"/>
        </w:rPr>
        <w:t> for human use of chemical origin and certain therapeutic </w:t>
      </w:r>
      <w:hyperlink r:id="rId14" w:tgtFrame="_blank" w:tooltip="The use of living organisms to create or modify products, including medicines." w:history="1">
        <w:r w:rsidRPr="003E75C7">
          <w:rPr>
            <w:rFonts w:ascii="Verdana" w:eastAsia="Times New Roman" w:hAnsi="Verdana" w:cs="Times New Roman"/>
            <w:color w:val="000000"/>
            <w:highlight w:val="darkGray"/>
            <w:u w:val="single"/>
          </w:rPr>
          <w:t>biotechnology</w:t>
        </w:r>
      </w:hyperlink>
      <w:r w:rsidRPr="003E75C7">
        <w:rPr>
          <w:rFonts w:ascii="Verdana" w:eastAsia="Times New Roman" w:hAnsi="Verdana" w:cs="Times New Roman"/>
          <w:color w:val="000000"/>
          <w:highlight w:val="darkGray"/>
        </w:rPr>
        <w:t>-derived products (such as monoclonal antibodies and recombinant proteins). Products currently out of scope of this pilot are vaccines, cell and gene therapies and plasma-derived pharmaceuticals.</w:t>
      </w:r>
      <w:r w:rsidRPr="00527FD3">
        <w:rPr>
          <w:rFonts w:ascii="Verdana" w:eastAsia="Times New Roman" w:hAnsi="Verdana" w:cs="Times New Roman"/>
          <w:color w:val="000000"/>
        </w:rPr>
        <w:t> </w:t>
      </w:r>
    </w:p>
    <w:p w14:paraId="5195CEA1" w14:textId="77777777" w:rsidR="00527FD3" w:rsidRPr="00527FD3" w:rsidRDefault="00527FD3" w:rsidP="00527FD3">
      <w:pPr>
        <w:spacing w:before="100" w:beforeAutospacing="1" w:after="100" w:afterAutospacing="1"/>
        <w:rPr>
          <w:rFonts w:ascii="Verdana" w:eastAsia="Times New Roman" w:hAnsi="Verdana" w:cs="Times New Roman"/>
          <w:color w:val="000000"/>
        </w:rPr>
      </w:pPr>
      <w:r w:rsidRPr="007504F8">
        <w:rPr>
          <w:rFonts w:ascii="Verdana" w:eastAsia="Times New Roman" w:hAnsi="Verdana" w:cs="Times New Roman"/>
          <w:color w:val="000000"/>
          <w:highlight w:val="yellow"/>
        </w:rPr>
        <w:t xml:space="preserve">The pilot will last for a minimum of two years after which the participating authorities will assess the </w:t>
      </w:r>
      <w:proofErr w:type="spellStart"/>
      <w:r w:rsidRPr="007504F8">
        <w:rPr>
          <w:rFonts w:ascii="Verdana" w:eastAsia="Times New Roman" w:hAnsi="Verdana" w:cs="Times New Roman"/>
          <w:color w:val="000000"/>
          <w:highlight w:val="yellow"/>
        </w:rPr>
        <w:t>programme</w:t>
      </w:r>
      <w:proofErr w:type="spellEnd"/>
      <w:r w:rsidRPr="007504F8">
        <w:rPr>
          <w:rFonts w:ascii="Verdana" w:eastAsia="Times New Roman" w:hAnsi="Verdana" w:cs="Times New Roman"/>
          <w:color w:val="000000"/>
          <w:highlight w:val="yellow"/>
        </w:rPr>
        <w:t xml:space="preserve"> and determine the next steps in the collaboration.</w:t>
      </w:r>
      <w:bookmarkStart w:id="0" w:name="_GoBack"/>
      <w:bookmarkEnd w:id="0"/>
    </w:p>
    <w:p w14:paraId="7B24C99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43"/>
    <w:rsid w:val="003E75C7"/>
    <w:rsid w:val="00453EED"/>
    <w:rsid w:val="00527FD3"/>
    <w:rsid w:val="007504F8"/>
    <w:rsid w:val="00B9494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87811"/>
  <w14:defaultImageDpi w14:val="32767"/>
  <w15:chartTrackingRefBased/>
  <w15:docId w15:val="{B5B3E661-FFE9-A945-B1F3-70A69346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27FD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FD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27FD3"/>
  </w:style>
  <w:style w:type="character" w:customStyle="1" w:styleId="date-display-single">
    <w:name w:val="date-display-single"/>
    <w:basedOn w:val="DefaultParagraphFont"/>
    <w:rsid w:val="00527FD3"/>
  </w:style>
  <w:style w:type="paragraph" w:styleId="NormalWeb">
    <w:name w:val="Normal (Web)"/>
    <w:basedOn w:val="Normal"/>
    <w:uiPriority w:val="99"/>
    <w:semiHidden/>
    <w:unhideWhenUsed/>
    <w:rsid w:val="00527F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27FD3"/>
    <w:rPr>
      <w:color w:val="0000FF"/>
      <w:u w:val="single"/>
    </w:rPr>
  </w:style>
  <w:style w:type="character" w:customStyle="1" w:styleId="file">
    <w:name w:val="file"/>
    <w:basedOn w:val="DefaultParagraphFont"/>
    <w:rsid w:val="00527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123214">
      <w:bodyDiv w:val="1"/>
      <w:marLeft w:val="0"/>
      <w:marRight w:val="0"/>
      <w:marTop w:val="0"/>
      <w:marBottom w:val="0"/>
      <w:divBdr>
        <w:top w:val="none" w:sz="0" w:space="0" w:color="auto"/>
        <w:left w:val="none" w:sz="0" w:space="0" w:color="auto"/>
        <w:bottom w:val="none" w:sz="0" w:space="0" w:color="auto"/>
        <w:right w:val="none" w:sz="0" w:space="0" w:color="auto"/>
      </w:divBdr>
      <w:divsChild>
        <w:div w:id="1034621935">
          <w:marLeft w:val="0"/>
          <w:marRight w:val="0"/>
          <w:marTop w:val="0"/>
          <w:marBottom w:val="0"/>
          <w:divBdr>
            <w:top w:val="none" w:sz="0" w:space="0" w:color="auto"/>
            <w:left w:val="none" w:sz="0" w:space="0" w:color="auto"/>
            <w:bottom w:val="none" w:sz="0" w:space="0" w:color="auto"/>
            <w:right w:val="none" w:sz="0" w:space="0" w:color="auto"/>
          </w:divBdr>
          <w:divsChild>
            <w:div w:id="1394625750">
              <w:marLeft w:val="0"/>
              <w:marRight w:val="0"/>
              <w:marTop w:val="0"/>
              <w:marBottom w:val="0"/>
              <w:divBdr>
                <w:top w:val="none" w:sz="0" w:space="0" w:color="auto"/>
                <w:left w:val="none" w:sz="0" w:space="0" w:color="auto"/>
                <w:bottom w:val="none" w:sz="0" w:space="0" w:color="auto"/>
                <w:right w:val="none" w:sz="0" w:space="0" w:color="auto"/>
              </w:divBdr>
            </w:div>
          </w:divsChild>
        </w:div>
        <w:div w:id="1051659160">
          <w:marLeft w:val="0"/>
          <w:marRight w:val="0"/>
          <w:marTop w:val="0"/>
          <w:marBottom w:val="0"/>
          <w:divBdr>
            <w:top w:val="none" w:sz="0" w:space="0" w:color="auto"/>
            <w:left w:val="none" w:sz="0" w:space="0" w:color="auto"/>
            <w:bottom w:val="none" w:sz="0" w:space="0" w:color="auto"/>
            <w:right w:val="none" w:sz="0" w:space="0" w:color="auto"/>
          </w:divBdr>
        </w:div>
        <w:div w:id="555700440">
          <w:marLeft w:val="0"/>
          <w:marRight w:val="0"/>
          <w:marTop w:val="0"/>
          <w:marBottom w:val="0"/>
          <w:divBdr>
            <w:top w:val="none" w:sz="0" w:space="0" w:color="auto"/>
            <w:left w:val="none" w:sz="0" w:space="0" w:color="auto"/>
            <w:bottom w:val="none" w:sz="0" w:space="0" w:color="auto"/>
            <w:right w:val="none" w:sz="0" w:space="0" w:color="auto"/>
          </w:divBdr>
          <w:divsChild>
            <w:div w:id="1491941674">
              <w:marLeft w:val="0"/>
              <w:marRight w:val="0"/>
              <w:marTop w:val="0"/>
              <w:marBottom w:val="0"/>
              <w:divBdr>
                <w:top w:val="none" w:sz="0" w:space="0" w:color="auto"/>
                <w:left w:val="none" w:sz="0" w:space="0" w:color="auto"/>
                <w:bottom w:val="none" w:sz="0" w:space="0" w:color="auto"/>
                <w:right w:val="none" w:sz="0" w:space="0" w:color="auto"/>
              </w:divBdr>
              <w:divsChild>
                <w:div w:id="2103918402">
                  <w:marLeft w:val="0"/>
                  <w:marRight w:val="0"/>
                  <w:marTop w:val="0"/>
                  <w:marBottom w:val="0"/>
                  <w:divBdr>
                    <w:top w:val="none" w:sz="0" w:space="0" w:color="auto"/>
                    <w:left w:val="none" w:sz="0" w:space="0" w:color="auto"/>
                    <w:bottom w:val="none" w:sz="0" w:space="0" w:color="auto"/>
                    <w:right w:val="none" w:sz="0" w:space="0" w:color="auto"/>
                  </w:divBdr>
                  <w:divsChild>
                    <w:div w:id="2071146649">
                      <w:marLeft w:val="0"/>
                      <w:marRight w:val="0"/>
                      <w:marTop w:val="0"/>
                      <w:marBottom w:val="0"/>
                      <w:divBdr>
                        <w:top w:val="none" w:sz="0" w:space="0" w:color="auto"/>
                        <w:left w:val="none" w:sz="0" w:space="0" w:color="auto"/>
                        <w:bottom w:val="none" w:sz="0" w:space="0" w:color="auto"/>
                        <w:right w:val="none" w:sz="0" w:space="0" w:color="auto"/>
                      </w:divBdr>
                      <w:divsChild>
                        <w:div w:id="1186822649">
                          <w:marLeft w:val="0"/>
                          <w:marRight w:val="0"/>
                          <w:marTop w:val="0"/>
                          <w:marBottom w:val="0"/>
                          <w:divBdr>
                            <w:top w:val="none" w:sz="0" w:space="0" w:color="auto"/>
                            <w:left w:val="none" w:sz="0" w:space="0" w:color="auto"/>
                            <w:bottom w:val="none" w:sz="0" w:space="0" w:color="auto"/>
                            <w:right w:val="none" w:sz="0" w:space="0" w:color="auto"/>
                          </w:divBdr>
                          <w:divsChild>
                            <w:div w:id="414939149">
                              <w:marLeft w:val="0"/>
                              <w:marRight w:val="0"/>
                              <w:marTop w:val="0"/>
                              <w:marBottom w:val="0"/>
                              <w:divBdr>
                                <w:top w:val="none" w:sz="0" w:space="0" w:color="auto"/>
                                <w:left w:val="none" w:sz="0" w:space="0" w:color="auto"/>
                                <w:bottom w:val="none" w:sz="0" w:space="0" w:color="auto"/>
                                <w:right w:val="none" w:sz="0" w:space="0" w:color="auto"/>
                              </w:divBdr>
                              <w:divsChild>
                                <w:div w:id="110980338">
                                  <w:marLeft w:val="0"/>
                                  <w:marRight w:val="0"/>
                                  <w:marTop w:val="0"/>
                                  <w:marBottom w:val="0"/>
                                  <w:divBdr>
                                    <w:top w:val="none" w:sz="0" w:space="0" w:color="auto"/>
                                    <w:left w:val="none" w:sz="0" w:space="0" w:color="auto"/>
                                    <w:bottom w:val="none" w:sz="0" w:space="0" w:color="auto"/>
                                    <w:right w:val="none" w:sz="0" w:space="0" w:color="auto"/>
                                  </w:divBdr>
                                  <w:divsChild>
                                    <w:div w:id="11199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health-canada.html" TargetMode="External"/><Relationship Id="rId13" Type="http://schemas.openxmlformats.org/officeDocument/2006/relationships/hyperlink" Target="https://www.ema.europa.eu/en/glossary/medicinal-product" TargetMode="External"/><Relationship Id="rId3" Type="http://schemas.openxmlformats.org/officeDocument/2006/relationships/webSettings" Target="webSettings.xml"/><Relationship Id="rId7" Type="http://schemas.openxmlformats.org/officeDocument/2006/relationships/hyperlink" Target="https://www.tga.gov.au/" TargetMode="External"/><Relationship Id="rId12" Type="http://schemas.openxmlformats.org/officeDocument/2006/relationships/hyperlink" Target="https://www.ema.europa.eu/documents/other/pilot-programme-international-cooperation-gmp-inspection-manufacturers-sterile-medicinal-products_en.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da.gov/home" TargetMode="External"/><Relationship Id="rId11" Type="http://schemas.openxmlformats.org/officeDocument/2006/relationships/hyperlink" Target="https://www.ema.europa.eu/en/human-regulatory/research-development/compliance/good-manufacturing-practice" TargetMode="External"/><Relationship Id="rId5" Type="http://schemas.openxmlformats.org/officeDocument/2006/relationships/hyperlink" Target="https://www.ema.europa.eu/en/human-regulatory/research-development/compliance/good-manufacturing-practice/international-collaboration-gmp-inspections" TargetMode="External"/><Relationship Id="rId15" Type="http://schemas.openxmlformats.org/officeDocument/2006/relationships/fontTable" Target="fontTable.xml"/><Relationship Id="rId10" Type="http://schemas.openxmlformats.org/officeDocument/2006/relationships/hyperlink" Target="https://www.who.int/" TargetMode="External"/><Relationship Id="rId4" Type="http://schemas.openxmlformats.org/officeDocument/2006/relationships/hyperlink" Target="https://www.ema.europa.eu/en/human-regulatory/research-development/compliance/good-manufacturing-practice/international-collaboration-gmp-inspections" TargetMode="External"/><Relationship Id="rId9" Type="http://schemas.openxmlformats.org/officeDocument/2006/relationships/hyperlink" Target="https://www.pmda.go.jp/english/" TargetMode="External"/><Relationship Id="rId14" Type="http://schemas.openxmlformats.org/officeDocument/2006/relationships/hyperlink" Target="https://www.ema.europa.eu/en/glossary/bio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2020-02-18T10:37:00Z</dcterms:created>
  <dcterms:modified xsi:type="dcterms:W3CDTF">2020-05-11T09:17:00Z</dcterms:modified>
</cp:coreProperties>
</file>