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8C0499" w14:textId="77777777" w:rsidR="00B54EE6" w:rsidRPr="00B54EE6" w:rsidRDefault="00B54EE6" w:rsidP="00B54EE6">
      <w:pPr>
        <w:outlineLvl w:val="0"/>
        <w:rPr>
          <w:rFonts w:ascii="Verdana" w:eastAsia="Times New Roman" w:hAnsi="Verdana" w:cs="Times New Roman"/>
          <w:color w:val="000000"/>
          <w:kern w:val="36"/>
          <w:sz w:val="48"/>
          <w:szCs w:val="48"/>
        </w:rPr>
      </w:pPr>
      <w:r w:rsidRPr="00B54EE6">
        <w:rPr>
          <w:rFonts w:ascii="Verdana" w:eastAsia="Times New Roman" w:hAnsi="Verdana" w:cs="Times New Roman"/>
          <w:color w:val="000000"/>
          <w:kern w:val="36"/>
          <w:sz w:val="48"/>
          <w:szCs w:val="48"/>
        </w:rPr>
        <w:t>PRAC recommends new measures to avoid dosing errors with methotrexate</w:t>
      </w:r>
    </w:p>
    <w:p w14:paraId="7B991C06" w14:textId="77777777" w:rsidR="00B54EE6" w:rsidRPr="00B54EE6" w:rsidRDefault="00B54EE6" w:rsidP="00B54EE6">
      <w:pPr>
        <w:rPr>
          <w:rFonts w:ascii="Times New Roman" w:eastAsia="Times New Roman" w:hAnsi="Times New Roman" w:cs="Times New Roman"/>
        </w:rPr>
      </w:pPr>
      <w:r w:rsidRPr="00B54EE6">
        <w:rPr>
          <w:rFonts w:ascii="Verdana" w:eastAsia="Times New Roman" w:hAnsi="Verdana" w:cs="Times New Roman"/>
          <w:color w:val="000000"/>
        </w:rPr>
        <w:t> </w:t>
      </w:r>
    </w:p>
    <w:p w14:paraId="3BD50618" w14:textId="77777777" w:rsidR="00B54EE6" w:rsidRPr="00B54EE6" w:rsidRDefault="00B54EE6" w:rsidP="00B54EE6">
      <w:pPr>
        <w:rPr>
          <w:rFonts w:ascii="Verdana" w:eastAsia="Times New Roman" w:hAnsi="Verdana" w:cs="Times New Roman"/>
          <w:color w:val="000000"/>
        </w:rPr>
      </w:pPr>
      <w:r w:rsidRPr="00B54EE6">
        <w:rPr>
          <w:rFonts w:ascii="Verdana" w:eastAsia="Times New Roman" w:hAnsi="Verdana" w:cs="Times New Roman"/>
          <w:color w:val="000000"/>
        </w:rPr>
        <w:t>Share</w:t>
      </w:r>
    </w:p>
    <w:p w14:paraId="7657A08E" w14:textId="77777777" w:rsidR="00B54EE6" w:rsidRPr="00B54EE6" w:rsidRDefault="00B54EE6" w:rsidP="00B54EE6">
      <w:pPr>
        <w:rPr>
          <w:rFonts w:ascii="Verdana" w:eastAsia="Times New Roman" w:hAnsi="Verdana" w:cs="Times New Roman"/>
          <w:color w:val="000000"/>
        </w:rPr>
      </w:pPr>
      <w:r w:rsidRPr="00B54EE6">
        <w:rPr>
          <w:rFonts w:ascii="Verdana" w:eastAsia="Times New Roman" w:hAnsi="Verdana" w:cs="Times New Roman"/>
          <w:color w:val="000000"/>
        </w:rPr>
        <w:t>Press release 12/07/2019</w:t>
      </w:r>
    </w:p>
    <w:p w14:paraId="1AB75FA0" w14:textId="77777777" w:rsidR="00B54EE6" w:rsidRPr="00B54EE6" w:rsidRDefault="00B54EE6" w:rsidP="00B54EE6">
      <w:pPr>
        <w:spacing w:beforeAutospacing="1" w:afterAutospacing="1"/>
        <w:rPr>
          <w:rFonts w:ascii="Verdana" w:eastAsia="Times New Roman" w:hAnsi="Verdana" w:cs="Times New Roman"/>
          <w:color w:val="000000"/>
        </w:rPr>
      </w:pPr>
      <w:r w:rsidRPr="00422569">
        <w:rPr>
          <w:rFonts w:ascii="Verdana" w:eastAsia="Times New Roman" w:hAnsi="Verdana" w:cs="Times New Roman"/>
          <w:color w:val="000000"/>
          <w:highlight w:val="lightGray"/>
        </w:rPr>
        <w:t>EMA’s safety committee (</w:t>
      </w:r>
      <w:hyperlink r:id="rId5" w:tgtFrame="_blank" w:tooltip="Pharmacovigilance Risk Assessment Committee -  the committee that is responsible for assessing all aspects of the risk management of medicines for human use. &#13; &#13; More information can be found under 'Pharmacovigilance Risk Assessment Committee (PRAC)'." w:history="1">
        <w:r w:rsidRPr="00422569">
          <w:rPr>
            <w:rFonts w:ascii="Verdana" w:eastAsia="Times New Roman" w:hAnsi="Verdana" w:cs="Times New Roman"/>
            <w:color w:val="000000"/>
            <w:highlight w:val="lightGray"/>
            <w:u w:val="single"/>
          </w:rPr>
          <w:t>PRAC</w:t>
        </w:r>
      </w:hyperlink>
      <w:r w:rsidRPr="00422569">
        <w:rPr>
          <w:rFonts w:ascii="Verdana" w:eastAsia="Times New Roman" w:hAnsi="Verdana" w:cs="Times New Roman"/>
          <w:color w:val="000000"/>
          <w:highlight w:val="lightGray"/>
        </w:rPr>
        <w:t>) is recommending new measures to avoid</w:t>
      </w:r>
      <w:r w:rsidRPr="00B54EE6">
        <w:rPr>
          <w:rFonts w:ascii="Verdana" w:eastAsia="Times New Roman" w:hAnsi="Verdana" w:cs="Times New Roman"/>
          <w:color w:val="000000"/>
        </w:rPr>
        <w:t xml:space="preserve"> </w:t>
      </w:r>
      <w:r w:rsidRPr="00422569">
        <w:rPr>
          <w:rFonts w:ascii="Verdana" w:eastAsia="Times New Roman" w:hAnsi="Verdana" w:cs="Times New Roman"/>
          <w:color w:val="000000"/>
          <w:highlight w:val="darkGray"/>
        </w:rPr>
        <w:t>dosing errors that have led to some patients incorrectly taking methotrexate-containing medicines daily instead of weekly</w:t>
      </w:r>
      <w:r w:rsidRPr="00B54EE6">
        <w:rPr>
          <w:rFonts w:ascii="Verdana" w:eastAsia="Times New Roman" w:hAnsi="Verdana" w:cs="Times New Roman"/>
          <w:color w:val="000000"/>
        </w:rPr>
        <w:t>.</w:t>
      </w:r>
    </w:p>
    <w:p w14:paraId="07DC304E" w14:textId="77777777" w:rsidR="00B54EE6" w:rsidRPr="00B54EE6" w:rsidRDefault="00B54EE6" w:rsidP="00B54EE6">
      <w:pPr>
        <w:spacing w:before="100" w:beforeAutospacing="1" w:after="100" w:afterAutospacing="1"/>
        <w:rPr>
          <w:rFonts w:ascii="Verdana" w:eastAsia="Times New Roman" w:hAnsi="Verdana" w:cs="Times New Roman"/>
          <w:color w:val="000000"/>
        </w:rPr>
      </w:pPr>
      <w:r w:rsidRPr="00422569">
        <w:rPr>
          <w:rFonts w:ascii="Verdana" w:eastAsia="Times New Roman" w:hAnsi="Verdana" w:cs="Times New Roman"/>
          <w:color w:val="000000"/>
          <w:highlight w:val="lightGray"/>
        </w:rPr>
        <w:t>The new measures include restricting who can prescribe these medicines, making warnings on the packaging more prominent and providing educational materials for patients and healthcare professionals. In addition, to help patients follow the once-weekly dosing, methotrexate tablets for weekly use will be provided in blister packs and not in bottles (or tubes).</w:t>
      </w:r>
    </w:p>
    <w:p w14:paraId="2535D623" w14:textId="77777777" w:rsidR="00B54EE6" w:rsidRPr="00B54EE6" w:rsidRDefault="00B54EE6" w:rsidP="00B54EE6">
      <w:pPr>
        <w:spacing w:before="100" w:beforeAutospacing="1" w:after="100" w:afterAutospacing="1"/>
        <w:rPr>
          <w:rFonts w:ascii="Verdana" w:eastAsia="Times New Roman" w:hAnsi="Verdana" w:cs="Times New Roman"/>
          <w:color w:val="000000"/>
        </w:rPr>
      </w:pPr>
      <w:r w:rsidRPr="00422569">
        <w:rPr>
          <w:rFonts w:ascii="Verdana" w:eastAsia="Times New Roman" w:hAnsi="Verdana" w:cs="Times New Roman"/>
          <w:color w:val="000000"/>
          <w:highlight w:val="darkGray"/>
        </w:rPr>
        <w:t xml:space="preserve">Methotrexate is used for treating both inflammatory diseases and cancers. When used for inflammatory diseases, such as arthritis and psoriasis, it is taken once a week but for some types of cancer, a much higher dosage is </w:t>
      </w:r>
      <w:proofErr w:type="gramStart"/>
      <w:r w:rsidRPr="00422569">
        <w:rPr>
          <w:rFonts w:ascii="Verdana" w:eastAsia="Times New Roman" w:hAnsi="Verdana" w:cs="Times New Roman"/>
          <w:color w:val="000000"/>
          <w:highlight w:val="darkGray"/>
        </w:rPr>
        <w:t>needed</w:t>
      </w:r>
      <w:proofErr w:type="gramEnd"/>
      <w:r w:rsidRPr="00422569">
        <w:rPr>
          <w:rFonts w:ascii="Verdana" w:eastAsia="Times New Roman" w:hAnsi="Verdana" w:cs="Times New Roman"/>
          <w:color w:val="000000"/>
          <w:highlight w:val="darkGray"/>
        </w:rPr>
        <w:t xml:space="preserve"> and the medicine is taken more frequently. Mistakes in prescribing or dispensing methotrexate as well as misunderstandings of the dosing schedule have led to patients taking the medicine daily instead of weekly for inflammatory diseases, with serious consequences, including fatalities.</w:t>
      </w:r>
    </w:p>
    <w:p w14:paraId="1D64C03A" w14:textId="77777777" w:rsidR="00B54EE6" w:rsidRPr="00B54EE6" w:rsidRDefault="00B54EE6" w:rsidP="00B54EE6">
      <w:pPr>
        <w:spacing w:before="100" w:beforeAutospacing="1" w:after="100" w:afterAutospacing="1"/>
        <w:rPr>
          <w:rFonts w:ascii="Verdana" w:eastAsia="Times New Roman" w:hAnsi="Verdana" w:cs="Times New Roman"/>
          <w:color w:val="000000"/>
        </w:rPr>
      </w:pPr>
      <w:r w:rsidRPr="00422569">
        <w:rPr>
          <w:rFonts w:ascii="Verdana" w:eastAsia="Times New Roman" w:hAnsi="Verdana" w:cs="Times New Roman"/>
          <w:color w:val="000000"/>
          <w:highlight w:val="darkGray"/>
        </w:rPr>
        <w:t>The risk of dosing errors with methotrexate-containing medicines is well known. However, despite several measures already in place, these errors continue to be reported.</w:t>
      </w:r>
    </w:p>
    <w:p w14:paraId="3D2F3DCC" w14:textId="77777777" w:rsidR="00B54EE6" w:rsidRPr="00B54EE6" w:rsidRDefault="00B54EE6" w:rsidP="00B54EE6">
      <w:pPr>
        <w:spacing w:beforeAutospacing="1" w:afterAutospacing="1"/>
        <w:rPr>
          <w:rFonts w:ascii="Verdana" w:eastAsia="Times New Roman" w:hAnsi="Verdana" w:cs="Times New Roman"/>
          <w:color w:val="000000"/>
        </w:rPr>
      </w:pPr>
      <w:r w:rsidRPr="00422569">
        <w:rPr>
          <w:rFonts w:ascii="Verdana" w:eastAsia="Times New Roman" w:hAnsi="Verdana" w:cs="Times New Roman"/>
          <w:color w:val="000000"/>
          <w:highlight w:val="darkGray"/>
        </w:rPr>
        <w:t>The </w:t>
      </w:r>
      <w:hyperlink r:id="rId6" w:tgtFrame="_blank" w:tooltip="Pharmacovigilance Risk Assessment Committee -  the committee that is responsible for assessing all aspects of the risk management of medicines for human use. &#13; &#13; More information can be found under 'Pharmacovigilance Risk Assessment Committee (PRAC)'." w:history="1">
        <w:r w:rsidRPr="00422569">
          <w:rPr>
            <w:rFonts w:ascii="Verdana" w:eastAsia="Times New Roman" w:hAnsi="Verdana" w:cs="Times New Roman"/>
            <w:color w:val="000000"/>
            <w:highlight w:val="darkGray"/>
            <w:u w:val="single"/>
          </w:rPr>
          <w:t>PRAC</w:t>
        </w:r>
      </w:hyperlink>
      <w:r w:rsidRPr="00422569">
        <w:rPr>
          <w:rFonts w:ascii="Verdana" w:eastAsia="Times New Roman" w:hAnsi="Verdana" w:cs="Times New Roman"/>
          <w:color w:val="000000"/>
          <w:highlight w:val="darkGray"/>
        </w:rPr>
        <w:t> examined the available evidence and recommended additional measures to reduce dosing errors so that benefits of methotrexate-containing medicines continue to outweigh their risks. The measures were agreed after consultation with patients and healthcare professionals.</w:t>
      </w:r>
    </w:p>
    <w:tbl>
      <w:tblPr>
        <w:tblW w:w="5000" w:type="pct"/>
        <w:tblBorders>
          <w:top w:val="outset" w:sz="2" w:space="0" w:color="auto"/>
          <w:left w:val="outset" w:sz="2" w:space="0" w:color="auto"/>
          <w:bottom w:val="outset" w:sz="2" w:space="0" w:color="auto"/>
          <w:right w:val="outset" w:sz="2" w:space="0" w:color="auto"/>
        </w:tblBorders>
        <w:tblCellMar>
          <w:left w:w="0" w:type="dxa"/>
          <w:right w:w="0" w:type="dxa"/>
        </w:tblCellMar>
        <w:tblLook w:val="04A0" w:firstRow="1" w:lastRow="0" w:firstColumn="1" w:lastColumn="0" w:noHBand="0" w:noVBand="1"/>
      </w:tblPr>
      <w:tblGrid>
        <w:gridCol w:w="9344"/>
      </w:tblGrid>
      <w:tr w:rsidR="00B54EE6" w:rsidRPr="00B54EE6" w14:paraId="58F8FFF3" w14:textId="77777777" w:rsidTr="00B54EE6">
        <w:trPr>
          <w:tblHeader/>
        </w:trPr>
        <w:tc>
          <w:tcPr>
            <w:tcW w:w="0" w:type="auto"/>
            <w:tcBorders>
              <w:top w:val="outset" w:sz="6" w:space="0" w:color="auto"/>
              <w:left w:val="outset" w:sz="6" w:space="0" w:color="auto"/>
              <w:bottom w:val="single" w:sz="6" w:space="0" w:color="404040"/>
              <w:right w:val="outset" w:sz="6" w:space="0" w:color="auto"/>
            </w:tcBorders>
            <w:shd w:val="clear" w:color="auto" w:fill="E3E3E3"/>
            <w:hideMark/>
          </w:tcPr>
          <w:p w14:paraId="586294F2" w14:textId="77777777" w:rsidR="00B54EE6" w:rsidRPr="00422569" w:rsidRDefault="00B54EE6" w:rsidP="00B54EE6">
            <w:pPr>
              <w:rPr>
                <w:rFonts w:ascii="Times New Roman" w:eastAsia="Times New Roman" w:hAnsi="Times New Roman" w:cs="Times New Roman"/>
                <w:b/>
                <w:bCs/>
                <w:color w:val="404040"/>
                <w:highlight w:val="lightGray"/>
              </w:rPr>
            </w:pPr>
            <w:r w:rsidRPr="00422569">
              <w:rPr>
                <w:rFonts w:ascii="Times New Roman" w:eastAsia="Times New Roman" w:hAnsi="Times New Roman" w:cs="Times New Roman"/>
                <w:b/>
                <w:bCs/>
                <w:color w:val="404040"/>
                <w:highlight w:val="lightGray"/>
              </w:rPr>
              <w:t>Measures to prevent dosing errors with methotrexate</w:t>
            </w:r>
          </w:p>
        </w:tc>
      </w:tr>
      <w:tr w:rsidR="00B54EE6" w:rsidRPr="00B54EE6" w14:paraId="16625755" w14:textId="77777777" w:rsidTr="00B54EE6">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37FE6AA" w14:textId="77777777" w:rsidR="00B54EE6" w:rsidRPr="00422569" w:rsidRDefault="00B54EE6" w:rsidP="00B54EE6">
            <w:pPr>
              <w:numPr>
                <w:ilvl w:val="0"/>
                <w:numId w:val="1"/>
              </w:numPr>
              <w:spacing w:before="100" w:beforeAutospacing="1" w:after="100" w:afterAutospacing="1"/>
              <w:rPr>
                <w:rFonts w:ascii="Times New Roman" w:eastAsia="Times New Roman" w:hAnsi="Times New Roman" w:cs="Times New Roman"/>
                <w:highlight w:val="lightGray"/>
              </w:rPr>
            </w:pPr>
            <w:r w:rsidRPr="00422569">
              <w:rPr>
                <w:rFonts w:ascii="Times New Roman" w:eastAsia="Times New Roman" w:hAnsi="Times New Roman" w:cs="Times New Roman"/>
                <w:highlight w:val="lightGray"/>
              </w:rPr>
              <w:t>Only doctors with expertise in using methotrexate-containing medicines to prescribe them.</w:t>
            </w:r>
          </w:p>
          <w:p w14:paraId="3CC0FC59" w14:textId="77777777" w:rsidR="00B54EE6" w:rsidRPr="00422569" w:rsidRDefault="00B54EE6" w:rsidP="00B54EE6">
            <w:pPr>
              <w:numPr>
                <w:ilvl w:val="0"/>
                <w:numId w:val="1"/>
              </w:numPr>
              <w:spacing w:before="100" w:beforeAutospacing="1" w:after="100" w:afterAutospacing="1"/>
              <w:rPr>
                <w:rFonts w:ascii="Times New Roman" w:eastAsia="Times New Roman" w:hAnsi="Times New Roman" w:cs="Times New Roman"/>
                <w:highlight w:val="lightGray"/>
              </w:rPr>
            </w:pPr>
            <w:r w:rsidRPr="00422569">
              <w:rPr>
                <w:rFonts w:ascii="Times New Roman" w:eastAsia="Times New Roman" w:hAnsi="Times New Roman" w:cs="Times New Roman"/>
                <w:highlight w:val="lightGray"/>
              </w:rPr>
              <w:t xml:space="preserve">Healthcare professionals to ensure that patients or </w:t>
            </w:r>
            <w:proofErr w:type="spellStart"/>
            <w:r w:rsidRPr="00422569">
              <w:rPr>
                <w:rFonts w:ascii="Times New Roman" w:eastAsia="Times New Roman" w:hAnsi="Times New Roman" w:cs="Times New Roman"/>
                <w:highlight w:val="lightGray"/>
              </w:rPr>
              <w:t>carers</w:t>
            </w:r>
            <w:proofErr w:type="spellEnd"/>
            <w:r w:rsidRPr="00422569">
              <w:rPr>
                <w:rFonts w:ascii="Times New Roman" w:eastAsia="Times New Roman" w:hAnsi="Times New Roman" w:cs="Times New Roman"/>
                <w:highlight w:val="lightGray"/>
              </w:rPr>
              <w:t xml:space="preserve"> are able to follow the once-weekly dosing schedule.</w:t>
            </w:r>
          </w:p>
          <w:p w14:paraId="529DAE15" w14:textId="77777777" w:rsidR="00B54EE6" w:rsidRPr="00422569" w:rsidRDefault="00B54EE6" w:rsidP="00B54EE6">
            <w:pPr>
              <w:numPr>
                <w:ilvl w:val="0"/>
                <w:numId w:val="1"/>
              </w:numPr>
              <w:spacing w:beforeAutospacing="1" w:afterAutospacing="1"/>
              <w:rPr>
                <w:rFonts w:ascii="Times New Roman" w:eastAsia="Times New Roman" w:hAnsi="Times New Roman" w:cs="Times New Roman"/>
                <w:highlight w:val="lightGray"/>
              </w:rPr>
            </w:pPr>
            <w:r w:rsidRPr="00422569">
              <w:rPr>
                <w:rFonts w:ascii="Times New Roman" w:eastAsia="Times New Roman" w:hAnsi="Times New Roman" w:cs="Times New Roman"/>
                <w:highlight w:val="lightGray"/>
              </w:rPr>
              <w:t>To avoid confusion, recommendations to split the dose should be deleted from the </w:t>
            </w:r>
            <w:hyperlink r:id="rId7" w:tgtFrame="_blank" w:tooltip="Documents providing officially approved information for healthcare professionals and patients on a medicine. The product information includes the summary of product characteristics, package leaflet and labelling. &#13; &#13; More information can be found under 'Product-information requirements'." w:history="1">
              <w:r w:rsidRPr="00422569">
                <w:rPr>
                  <w:rFonts w:ascii="Times New Roman" w:eastAsia="Times New Roman" w:hAnsi="Times New Roman" w:cs="Times New Roman"/>
                  <w:color w:val="000000"/>
                  <w:highlight w:val="lightGray"/>
                  <w:u w:val="single"/>
                </w:rPr>
                <w:t>product information</w:t>
              </w:r>
            </w:hyperlink>
            <w:r w:rsidRPr="00422569">
              <w:rPr>
                <w:rFonts w:ascii="Times New Roman" w:eastAsia="Times New Roman" w:hAnsi="Times New Roman" w:cs="Times New Roman"/>
                <w:highlight w:val="lightGray"/>
              </w:rPr>
              <w:t> for the tablet formulation.</w:t>
            </w:r>
          </w:p>
          <w:p w14:paraId="062C4DF9" w14:textId="77777777" w:rsidR="00B54EE6" w:rsidRPr="00422569" w:rsidRDefault="00B54EE6" w:rsidP="00B54EE6">
            <w:pPr>
              <w:numPr>
                <w:ilvl w:val="0"/>
                <w:numId w:val="1"/>
              </w:numPr>
              <w:spacing w:before="100" w:beforeAutospacing="1" w:after="100" w:afterAutospacing="1"/>
              <w:rPr>
                <w:rFonts w:ascii="Times New Roman" w:eastAsia="Times New Roman" w:hAnsi="Times New Roman" w:cs="Times New Roman"/>
                <w:highlight w:val="lightGray"/>
              </w:rPr>
            </w:pPr>
            <w:r w:rsidRPr="00422569">
              <w:rPr>
                <w:rFonts w:ascii="Times New Roman" w:eastAsia="Times New Roman" w:hAnsi="Times New Roman" w:cs="Times New Roman"/>
                <w:highlight w:val="lightGray"/>
              </w:rPr>
              <w:t>Packaging for all methotrexate-containing medicines for once-weekly use to include a prominent reminder of how the medicine should be used.</w:t>
            </w:r>
          </w:p>
          <w:p w14:paraId="6CB803F9" w14:textId="77777777" w:rsidR="00B54EE6" w:rsidRPr="00422569" w:rsidRDefault="00B54EE6" w:rsidP="00B54EE6">
            <w:pPr>
              <w:numPr>
                <w:ilvl w:val="0"/>
                <w:numId w:val="1"/>
              </w:numPr>
              <w:spacing w:before="100" w:beforeAutospacing="1" w:after="100" w:afterAutospacing="1"/>
              <w:rPr>
                <w:rFonts w:ascii="Times New Roman" w:eastAsia="Times New Roman" w:hAnsi="Times New Roman" w:cs="Times New Roman"/>
                <w:highlight w:val="lightGray"/>
              </w:rPr>
            </w:pPr>
            <w:r w:rsidRPr="00422569">
              <w:rPr>
                <w:rFonts w:ascii="Times New Roman" w:eastAsia="Times New Roman" w:hAnsi="Times New Roman" w:cs="Times New Roman"/>
                <w:highlight w:val="lightGray"/>
              </w:rPr>
              <w:lastRenderedPageBreak/>
              <w:t xml:space="preserve">Patient card </w:t>
            </w:r>
            <w:proofErr w:type="spellStart"/>
            <w:r w:rsidRPr="00422569">
              <w:rPr>
                <w:rFonts w:ascii="Times New Roman" w:eastAsia="Times New Roman" w:hAnsi="Times New Roman" w:cs="Times New Roman"/>
                <w:highlight w:val="lightGray"/>
              </w:rPr>
              <w:t>emphasising</w:t>
            </w:r>
            <w:proofErr w:type="spellEnd"/>
            <w:r w:rsidRPr="00422569">
              <w:rPr>
                <w:rFonts w:ascii="Times New Roman" w:eastAsia="Times New Roman" w:hAnsi="Times New Roman" w:cs="Times New Roman"/>
                <w:highlight w:val="lightGray"/>
              </w:rPr>
              <w:t xml:space="preserve"> the weekly dosing for inflammatory diseases to be provided with oral medicines.</w:t>
            </w:r>
          </w:p>
          <w:p w14:paraId="6A7D6256" w14:textId="77777777" w:rsidR="00B54EE6" w:rsidRPr="00422569" w:rsidRDefault="00B54EE6" w:rsidP="00B54EE6">
            <w:pPr>
              <w:numPr>
                <w:ilvl w:val="0"/>
                <w:numId w:val="1"/>
              </w:numPr>
              <w:spacing w:before="100" w:beforeAutospacing="1" w:after="100" w:afterAutospacing="1"/>
              <w:rPr>
                <w:rFonts w:ascii="Times New Roman" w:eastAsia="Times New Roman" w:hAnsi="Times New Roman" w:cs="Times New Roman"/>
                <w:highlight w:val="lightGray"/>
              </w:rPr>
            </w:pPr>
            <w:r w:rsidRPr="00422569">
              <w:rPr>
                <w:rFonts w:ascii="Times New Roman" w:eastAsia="Times New Roman" w:hAnsi="Times New Roman" w:cs="Times New Roman"/>
                <w:highlight w:val="lightGray"/>
              </w:rPr>
              <w:t>Healthcare professionals to be provided with educational materials for oral medicines and to counsel patients accordingly.</w:t>
            </w:r>
          </w:p>
          <w:p w14:paraId="6732793F" w14:textId="77777777" w:rsidR="00B54EE6" w:rsidRPr="00422569" w:rsidRDefault="00B54EE6" w:rsidP="00B54EE6">
            <w:pPr>
              <w:spacing w:before="100" w:beforeAutospacing="1" w:after="100" w:afterAutospacing="1"/>
              <w:rPr>
                <w:rFonts w:ascii="Times New Roman" w:eastAsia="Times New Roman" w:hAnsi="Times New Roman" w:cs="Times New Roman"/>
                <w:highlight w:val="lightGray"/>
              </w:rPr>
            </w:pPr>
            <w:r w:rsidRPr="00422569">
              <w:rPr>
                <w:rFonts w:ascii="Times New Roman" w:eastAsia="Times New Roman" w:hAnsi="Times New Roman" w:cs="Times New Roman"/>
                <w:highlight w:val="lightGray"/>
              </w:rPr>
              <w:t xml:space="preserve">Tablets to be available in blister packs instead of bottles (or tubes) in order to help </w:t>
            </w:r>
            <w:proofErr w:type="gramStart"/>
            <w:r w:rsidRPr="00422569">
              <w:rPr>
                <w:rFonts w:ascii="Times New Roman" w:eastAsia="Times New Roman" w:hAnsi="Times New Roman" w:cs="Times New Roman"/>
                <w:highlight w:val="lightGray"/>
              </w:rPr>
              <w:t>patients</w:t>
            </w:r>
            <w:proofErr w:type="gramEnd"/>
            <w:r w:rsidRPr="00422569">
              <w:rPr>
                <w:rFonts w:ascii="Times New Roman" w:eastAsia="Times New Roman" w:hAnsi="Times New Roman" w:cs="Times New Roman"/>
                <w:highlight w:val="lightGray"/>
              </w:rPr>
              <w:t xml:space="preserve"> follow the once-weekly dosing.</w:t>
            </w:r>
          </w:p>
        </w:tc>
      </w:tr>
    </w:tbl>
    <w:p w14:paraId="55BD0B81" w14:textId="77777777" w:rsidR="00B54EE6" w:rsidRPr="00B54EE6" w:rsidRDefault="00B54EE6" w:rsidP="00B54EE6">
      <w:pPr>
        <w:spacing w:beforeAutospacing="1" w:afterAutospacing="1"/>
        <w:rPr>
          <w:rFonts w:ascii="Verdana" w:eastAsia="Times New Roman" w:hAnsi="Verdana" w:cs="Times New Roman"/>
          <w:color w:val="000000"/>
        </w:rPr>
      </w:pPr>
      <w:r w:rsidRPr="00B54EE6">
        <w:rPr>
          <w:rFonts w:ascii="Verdana" w:eastAsia="Times New Roman" w:hAnsi="Verdana" w:cs="Times New Roman"/>
          <w:color w:val="000000"/>
        </w:rPr>
        <w:lastRenderedPageBreak/>
        <w:t>The </w:t>
      </w:r>
      <w:hyperlink r:id="rId8" w:tgtFrame="_blank" w:tooltip="Pharmacovigilance Risk Assessment Committee -  the committee that is responsible for assessing all aspects of the risk management of medicines for human use. &#13; &#13; More information can be found under 'Pharmacovigilance Risk Assessment Committee (PRAC)'." w:history="1">
        <w:r w:rsidRPr="00B54EE6">
          <w:rPr>
            <w:rFonts w:ascii="Verdana" w:eastAsia="Times New Roman" w:hAnsi="Verdana" w:cs="Times New Roman"/>
            <w:color w:val="000000"/>
            <w:u w:val="single"/>
          </w:rPr>
          <w:t>PRAC</w:t>
        </w:r>
      </w:hyperlink>
      <w:r w:rsidRPr="00B54EE6">
        <w:rPr>
          <w:rFonts w:ascii="Verdana" w:eastAsia="Times New Roman" w:hAnsi="Verdana" w:cs="Times New Roman"/>
          <w:color w:val="000000"/>
        </w:rPr>
        <w:t> recommendations will now be sent to the </w:t>
      </w:r>
      <w:hyperlink r:id="rId9" w:tgtFrame="_blank" w:tooltip="The committee that is responsible for preparing the Agency's opinions on questions concerning human medicines. Abbreviated as CHMP. &#13; &#13; More information can be found under 'Committee for Medicinal Products for Human Use (CHMP)'." w:history="1">
        <w:r w:rsidRPr="00B54EE6">
          <w:rPr>
            <w:rFonts w:ascii="Verdana" w:eastAsia="Times New Roman" w:hAnsi="Verdana" w:cs="Times New Roman"/>
            <w:color w:val="000000"/>
            <w:u w:val="single"/>
          </w:rPr>
          <w:t>Committee for Medicinal Products for Human Use</w:t>
        </w:r>
      </w:hyperlink>
      <w:r w:rsidRPr="00B54EE6">
        <w:rPr>
          <w:rFonts w:ascii="Verdana" w:eastAsia="Times New Roman" w:hAnsi="Verdana" w:cs="Times New Roman"/>
          <w:color w:val="000000"/>
        </w:rPr>
        <w:t> (</w:t>
      </w:r>
      <w:hyperlink r:id="rId10" w:tgtFrame="_blank" w:tooltip="Committee for Medicinal Products for Human Use -  the committee that is responsible for preparing the Agency's opinions on questions concerning human medicines. &#13; &#13; More information can be found under 'Committee for Medicinal Products for Human Use (CHMP)'." w:history="1">
        <w:r w:rsidRPr="00B54EE6">
          <w:rPr>
            <w:rFonts w:ascii="Verdana" w:eastAsia="Times New Roman" w:hAnsi="Verdana" w:cs="Times New Roman"/>
            <w:color w:val="000000"/>
            <w:u w:val="single"/>
          </w:rPr>
          <w:t>CHMP</w:t>
        </w:r>
      </w:hyperlink>
      <w:r w:rsidRPr="00B54EE6">
        <w:rPr>
          <w:rFonts w:ascii="Verdana" w:eastAsia="Times New Roman" w:hAnsi="Verdana" w:cs="Times New Roman"/>
          <w:color w:val="000000"/>
        </w:rPr>
        <w:t>), which will adopt an opinion.</w:t>
      </w:r>
    </w:p>
    <w:p w14:paraId="506F3379" w14:textId="77777777" w:rsidR="00B54EE6" w:rsidRPr="00B54EE6" w:rsidRDefault="00B54EE6" w:rsidP="00B54EE6">
      <w:pPr>
        <w:spacing w:before="100" w:beforeAutospacing="1" w:after="100" w:afterAutospacing="1"/>
        <w:rPr>
          <w:rFonts w:ascii="Verdana" w:eastAsia="Times New Roman" w:hAnsi="Verdana" w:cs="Times New Roman"/>
          <w:color w:val="000000"/>
        </w:rPr>
      </w:pPr>
      <w:r w:rsidRPr="00422569">
        <w:rPr>
          <w:rFonts w:ascii="Verdana" w:eastAsia="Times New Roman" w:hAnsi="Verdana" w:cs="Times New Roman"/>
          <w:color w:val="000000"/>
          <w:highlight w:val="lightGray"/>
        </w:rPr>
        <w:t>Healthcare professionals will be informed in writing of the above changes. Patients who have any concerns about their medicine in the meantime should discuss them with their doctor or pharmacist.</w:t>
      </w:r>
    </w:p>
    <w:p w14:paraId="55167A1A" w14:textId="77777777" w:rsidR="00B54EE6" w:rsidRPr="00422569" w:rsidRDefault="00B54EE6" w:rsidP="00B54EE6">
      <w:pPr>
        <w:spacing w:before="100" w:beforeAutospacing="1" w:after="100" w:afterAutospacing="1"/>
        <w:rPr>
          <w:rFonts w:ascii="Verdana" w:eastAsia="Times New Roman" w:hAnsi="Verdana" w:cs="Times New Roman"/>
          <w:color w:val="000000"/>
          <w:highlight w:val="darkGray"/>
        </w:rPr>
      </w:pPr>
      <w:r w:rsidRPr="00422569">
        <w:rPr>
          <w:rFonts w:ascii="Verdana" w:eastAsia="Times New Roman" w:hAnsi="Verdana" w:cs="Times New Roman"/>
          <w:b/>
          <w:bCs/>
          <w:color w:val="000000"/>
          <w:highlight w:val="darkGray"/>
        </w:rPr>
        <w:t>More information about the medicine</w:t>
      </w:r>
    </w:p>
    <w:p w14:paraId="5A572CC8" w14:textId="77777777" w:rsidR="00B54EE6" w:rsidRPr="00422569" w:rsidRDefault="00B54EE6" w:rsidP="00B54EE6">
      <w:pPr>
        <w:spacing w:before="100" w:beforeAutospacing="1" w:after="100" w:afterAutospacing="1"/>
        <w:rPr>
          <w:rFonts w:ascii="Verdana" w:eastAsia="Times New Roman" w:hAnsi="Verdana" w:cs="Times New Roman"/>
          <w:color w:val="000000"/>
          <w:highlight w:val="darkGray"/>
        </w:rPr>
      </w:pPr>
      <w:r w:rsidRPr="00422569">
        <w:rPr>
          <w:rFonts w:ascii="Verdana" w:eastAsia="Times New Roman" w:hAnsi="Verdana" w:cs="Times New Roman"/>
          <w:color w:val="000000"/>
          <w:highlight w:val="darkGray"/>
        </w:rPr>
        <w:t xml:space="preserve">Methotrexate-containing medicines are used to treat cancers such as acute lymphoblastic </w:t>
      </w:r>
      <w:proofErr w:type="spellStart"/>
      <w:r w:rsidRPr="00422569">
        <w:rPr>
          <w:rFonts w:ascii="Verdana" w:eastAsia="Times New Roman" w:hAnsi="Verdana" w:cs="Times New Roman"/>
          <w:color w:val="000000"/>
          <w:highlight w:val="darkGray"/>
        </w:rPr>
        <w:t>leukaemia</w:t>
      </w:r>
      <w:proofErr w:type="spellEnd"/>
      <w:r w:rsidRPr="00422569">
        <w:rPr>
          <w:rFonts w:ascii="Verdana" w:eastAsia="Times New Roman" w:hAnsi="Verdana" w:cs="Times New Roman"/>
          <w:color w:val="000000"/>
          <w:highlight w:val="darkGray"/>
        </w:rPr>
        <w:t xml:space="preserve"> and various inflammatory conditions, including rheumatoid arthritis, juvenile idiopathic arthritis, psoriasis, psoriatic arthritis and Crohn’s disease.</w:t>
      </w:r>
    </w:p>
    <w:p w14:paraId="5D5DDFBA" w14:textId="77777777" w:rsidR="00B54EE6" w:rsidRPr="00422569" w:rsidRDefault="00B54EE6" w:rsidP="00B54EE6">
      <w:pPr>
        <w:spacing w:before="100" w:beforeAutospacing="1" w:after="100" w:afterAutospacing="1"/>
        <w:rPr>
          <w:rFonts w:ascii="Verdana" w:eastAsia="Times New Roman" w:hAnsi="Verdana" w:cs="Times New Roman"/>
          <w:color w:val="000000"/>
          <w:highlight w:val="darkGray"/>
        </w:rPr>
      </w:pPr>
      <w:r w:rsidRPr="00422569">
        <w:rPr>
          <w:rFonts w:ascii="Verdana" w:eastAsia="Times New Roman" w:hAnsi="Verdana" w:cs="Times New Roman"/>
          <w:color w:val="000000"/>
          <w:highlight w:val="darkGray"/>
        </w:rPr>
        <w:t>Methotrexate can be taken orally or given by injection.</w:t>
      </w:r>
    </w:p>
    <w:p w14:paraId="755CD210" w14:textId="77777777" w:rsidR="00B54EE6" w:rsidRPr="00B54EE6" w:rsidRDefault="00B54EE6" w:rsidP="00B54EE6">
      <w:pPr>
        <w:spacing w:before="100" w:beforeAutospacing="1" w:after="100" w:afterAutospacing="1"/>
        <w:rPr>
          <w:rFonts w:ascii="Verdana" w:eastAsia="Times New Roman" w:hAnsi="Verdana" w:cs="Times New Roman"/>
          <w:color w:val="000000"/>
        </w:rPr>
      </w:pPr>
      <w:r w:rsidRPr="00422569">
        <w:rPr>
          <w:rFonts w:ascii="Verdana" w:eastAsia="Times New Roman" w:hAnsi="Verdana" w:cs="Times New Roman"/>
          <w:color w:val="000000"/>
          <w:highlight w:val="darkGray"/>
        </w:rPr>
        <w:t xml:space="preserve">Most methotrexate-containing medicines have been </w:t>
      </w:r>
      <w:proofErr w:type="spellStart"/>
      <w:r w:rsidRPr="00422569">
        <w:rPr>
          <w:rFonts w:ascii="Verdana" w:eastAsia="Times New Roman" w:hAnsi="Verdana" w:cs="Times New Roman"/>
          <w:color w:val="000000"/>
          <w:highlight w:val="darkGray"/>
        </w:rPr>
        <w:t>authorised</w:t>
      </w:r>
      <w:proofErr w:type="spellEnd"/>
      <w:r w:rsidRPr="00422569">
        <w:rPr>
          <w:rFonts w:ascii="Verdana" w:eastAsia="Times New Roman" w:hAnsi="Verdana" w:cs="Times New Roman"/>
          <w:color w:val="000000"/>
          <w:highlight w:val="darkGray"/>
        </w:rPr>
        <w:t xml:space="preserve"> via national procedures. They are marketed in all EU countries under several brand names including: </w:t>
      </w:r>
      <w:proofErr w:type="spellStart"/>
      <w:r w:rsidRPr="00422569">
        <w:rPr>
          <w:rFonts w:ascii="Verdana" w:eastAsia="Times New Roman" w:hAnsi="Verdana" w:cs="Times New Roman"/>
          <w:color w:val="000000"/>
          <w:highlight w:val="darkGray"/>
        </w:rPr>
        <w:t>Ledertrexate</w:t>
      </w:r>
      <w:proofErr w:type="spellEnd"/>
      <w:r w:rsidRPr="00422569">
        <w:rPr>
          <w:rFonts w:ascii="Verdana" w:eastAsia="Times New Roman" w:hAnsi="Verdana" w:cs="Times New Roman"/>
          <w:color w:val="000000"/>
          <w:highlight w:val="darkGray"/>
        </w:rPr>
        <w:t xml:space="preserve">, </w:t>
      </w:r>
      <w:proofErr w:type="spellStart"/>
      <w:r w:rsidRPr="00422569">
        <w:rPr>
          <w:rFonts w:ascii="Verdana" w:eastAsia="Times New Roman" w:hAnsi="Verdana" w:cs="Times New Roman"/>
          <w:color w:val="000000"/>
          <w:highlight w:val="darkGray"/>
        </w:rPr>
        <w:t>Maxtrex</w:t>
      </w:r>
      <w:proofErr w:type="spellEnd"/>
      <w:r w:rsidRPr="00422569">
        <w:rPr>
          <w:rFonts w:ascii="Verdana" w:eastAsia="Times New Roman" w:hAnsi="Verdana" w:cs="Times New Roman"/>
          <w:color w:val="000000"/>
          <w:highlight w:val="darkGray"/>
        </w:rPr>
        <w:t xml:space="preserve">, </w:t>
      </w:r>
      <w:proofErr w:type="spellStart"/>
      <w:r w:rsidRPr="00422569">
        <w:rPr>
          <w:rFonts w:ascii="Verdana" w:eastAsia="Times New Roman" w:hAnsi="Verdana" w:cs="Times New Roman"/>
          <w:color w:val="000000"/>
          <w:highlight w:val="darkGray"/>
        </w:rPr>
        <w:t>Metex</w:t>
      </w:r>
      <w:proofErr w:type="spellEnd"/>
      <w:r w:rsidRPr="00422569">
        <w:rPr>
          <w:rFonts w:ascii="Verdana" w:eastAsia="Times New Roman" w:hAnsi="Verdana" w:cs="Times New Roman"/>
          <w:color w:val="000000"/>
          <w:highlight w:val="darkGray"/>
        </w:rPr>
        <w:t xml:space="preserve"> and </w:t>
      </w:r>
      <w:proofErr w:type="spellStart"/>
      <w:r w:rsidRPr="00422569">
        <w:rPr>
          <w:rFonts w:ascii="Verdana" w:eastAsia="Times New Roman" w:hAnsi="Verdana" w:cs="Times New Roman"/>
          <w:color w:val="000000"/>
          <w:highlight w:val="darkGray"/>
        </w:rPr>
        <w:t>Metoject</w:t>
      </w:r>
      <w:proofErr w:type="spellEnd"/>
      <w:r w:rsidRPr="00422569">
        <w:rPr>
          <w:rFonts w:ascii="Verdana" w:eastAsia="Times New Roman" w:hAnsi="Verdana" w:cs="Times New Roman"/>
          <w:color w:val="000000"/>
          <w:highlight w:val="darkGray"/>
        </w:rPr>
        <w:t xml:space="preserve">. </w:t>
      </w:r>
      <w:proofErr w:type="spellStart"/>
      <w:r w:rsidRPr="00422569">
        <w:rPr>
          <w:rFonts w:ascii="Verdana" w:eastAsia="Times New Roman" w:hAnsi="Verdana" w:cs="Times New Roman"/>
          <w:color w:val="000000"/>
          <w:highlight w:val="darkGray"/>
        </w:rPr>
        <w:t>Jylamvo</w:t>
      </w:r>
      <w:proofErr w:type="spellEnd"/>
      <w:r w:rsidRPr="00422569">
        <w:rPr>
          <w:rFonts w:ascii="Verdana" w:eastAsia="Times New Roman" w:hAnsi="Verdana" w:cs="Times New Roman"/>
          <w:color w:val="000000"/>
          <w:highlight w:val="darkGray"/>
        </w:rPr>
        <w:t xml:space="preserve"> (for use by mouth) and </w:t>
      </w:r>
      <w:proofErr w:type="spellStart"/>
      <w:r w:rsidRPr="00422569">
        <w:rPr>
          <w:rFonts w:ascii="Verdana" w:eastAsia="Times New Roman" w:hAnsi="Verdana" w:cs="Times New Roman"/>
          <w:color w:val="000000"/>
          <w:highlight w:val="darkGray"/>
        </w:rPr>
        <w:t>Nordimet</w:t>
      </w:r>
      <w:proofErr w:type="spellEnd"/>
      <w:r w:rsidRPr="00422569">
        <w:rPr>
          <w:rFonts w:ascii="Verdana" w:eastAsia="Times New Roman" w:hAnsi="Verdana" w:cs="Times New Roman"/>
          <w:color w:val="000000"/>
          <w:highlight w:val="darkGray"/>
        </w:rPr>
        <w:t xml:space="preserve"> (for injection) are the only centrally </w:t>
      </w:r>
      <w:proofErr w:type="spellStart"/>
      <w:r w:rsidRPr="00422569">
        <w:rPr>
          <w:rFonts w:ascii="Verdana" w:eastAsia="Times New Roman" w:hAnsi="Verdana" w:cs="Times New Roman"/>
          <w:color w:val="000000"/>
          <w:highlight w:val="darkGray"/>
        </w:rPr>
        <w:t>authorised</w:t>
      </w:r>
      <w:proofErr w:type="spellEnd"/>
      <w:r w:rsidRPr="00422569">
        <w:rPr>
          <w:rFonts w:ascii="Verdana" w:eastAsia="Times New Roman" w:hAnsi="Verdana" w:cs="Times New Roman"/>
          <w:color w:val="000000"/>
          <w:highlight w:val="darkGray"/>
        </w:rPr>
        <w:t xml:space="preserve"> medicines containing methotrexate.</w:t>
      </w:r>
    </w:p>
    <w:p w14:paraId="04F39472" w14:textId="77777777" w:rsidR="00B54EE6" w:rsidRPr="00422569" w:rsidRDefault="00B54EE6" w:rsidP="00B54EE6">
      <w:pPr>
        <w:spacing w:before="100" w:beforeAutospacing="1" w:after="100" w:afterAutospacing="1"/>
        <w:rPr>
          <w:rFonts w:ascii="Verdana" w:eastAsia="Times New Roman" w:hAnsi="Verdana" w:cs="Times New Roman"/>
          <w:color w:val="000000"/>
          <w:highlight w:val="yellow"/>
        </w:rPr>
      </w:pPr>
      <w:r w:rsidRPr="00422569">
        <w:rPr>
          <w:rFonts w:ascii="Verdana" w:eastAsia="Times New Roman" w:hAnsi="Verdana" w:cs="Times New Roman"/>
          <w:b/>
          <w:bCs/>
          <w:color w:val="000000"/>
          <w:highlight w:val="yellow"/>
        </w:rPr>
        <w:t>More about the procedure</w:t>
      </w:r>
    </w:p>
    <w:p w14:paraId="0F928ACC" w14:textId="77777777" w:rsidR="00B54EE6" w:rsidRPr="00B54EE6" w:rsidRDefault="00B54EE6" w:rsidP="00B54EE6">
      <w:pPr>
        <w:spacing w:beforeAutospacing="1" w:afterAutospacing="1"/>
        <w:rPr>
          <w:rFonts w:ascii="Verdana" w:eastAsia="Times New Roman" w:hAnsi="Verdana" w:cs="Times New Roman"/>
          <w:color w:val="000000"/>
        </w:rPr>
      </w:pPr>
      <w:r w:rsidRPr="00422569">
        <w:rPr>
          <w:rFonts w:ascii="Verdana" w:eastAsia="Times New Roman" w:hAnsi="Verdana" w:cs="Times New Roman"/>
          <w:color w:val="000000"/>
          <w:highlight w:val="yellow"/>
        </w:rPr>
        <w:t>The review of methotrexate has been initiated at the request of Spain, under </w:t>
      </w:r>
      <w:hyperlink r:id="rId11" w:history="1">
        <w:r w:rsidRPr="00422569">
          <w:rPr>
            <w:rFonts w:ascii="Verdana" w:eastAsia="Times New Roman" w:hAnsi="Verdana" w:cs="Times New Roman"/>
            <w:color w:val="75197C"/>
            <w:highlight w:val="yellow"/>
            <w:u w:val="single"/>
          </w:rPr>
          <w:t>Article 31 of Directive 2001/83/EC</w:t>
        </w:r>
      </w:hyperlink>
      <w:r w:rsidRPr="00422569">
        <w:rPr>
          <w:rFonts w:ascii="Verdana" w:eastAsia="Times New Roman" w:hAnsi="Verdana" w:cs="Times New Roman"/>
          <w:color w:val="000000"/>
          <w:highlight w:val="yellow"/>
        </w:rPr>
        <w:t>.</w:t>
      </w:r>
    </w:p>
    <w:p w14:paraId="03E35C20" w14:textId="77777777" w:rsidR="00B54EE6" w:rsidRPr="00B54EE6" w:rsidRDefault="00B54EE6" w:rsidP="00B54EE6">
      <w:pPr>
        <w:spacing w:beforeAutospacing="1" w:afterAutospacing="1"/>
        <w:rPr>
          <w:rFonts w:ascii="Verdana" w:eastAsia="Times New Roman" w:hAnsi="Verdana" w:cs="Times New Roman"/>
          <w:color w:val="000000"/>
        </w:rPr>
      </w:pPr>
      <w:bookmarkStart w:id="0" w:name="_GoBack"/>
      <w:bookmarkEnd w:id="0"/>
      <w:r w:rsidRPr="00422569">
        <w:rPr>
          <w:rFonts w:ascii="Verdana" w:eastAsia="Times New Roman" w:hAnsi="Verdana" w:cs="Times New Roman"/>
          <w:color w:val="000000"/>
          <w:highlight w:val="yellow"/>
        </w:rPr>
        <w:t>The review was carried out by the </w:t>
      </w:r>
      <w:hyperlink r:id="rId12" w:tgtFrame="_blank" w:tooltip="The committee that is responsible for assessing all aspects of the risk management of medicines for human use. Abbreviated as PRAC. &#13; &#13; More information can be found under 'Pharmacovigilance Risk Assessment Committee (PRAC)'." w:history="1">
        <w:r w:rsidRPr="00422569">
          <w:rPr>
            <w:rFonts w:ascii="Verdana" w:eastAsia="Times New Roman" w:hAnsi="Verdana" w:cs="Times New Roman"/>
            <w:color w:val="000000"/>
            <w:highlight w:val="yellow"/>
            <w:u w:val="single"/>
          </w:rPr>
          <w:t>Pharmacovigilance Risk Assessment Committee</w:t>
        </w:r>
      </w:hyperlink>
      <w:r w:rsidRPr="00422569">
        <w:rPr>
          <w:rFonts w:ascii="Verdana" w:eastAsia="Times New Roman" w:hAnsi="Verdana" w:cs="Times New Roman"/>
          <w:color w:val="000000"/>
          <w:highlight w:val="yellow"/>
        </w:rPr>
        <w:t> (</w:t>
      </w:r>
      <w:hyperlink r:id="rId13" w:tgtFrame="_blank" w:tooltip="Pharmacovigilance Risk Assessment Committee -  the committee that is responsible for assessing all aspects of the risk management of medicines for human use. &#13; &#13; More information can be found under 'Pharmacovigilance Risk Assessment Committee (PRAC)'." w:history="1">
        <w:r w:rsidRPr="00422569">
          <w:rPr>
            <w:rFonts w:ascii="Verdana" w:eastAsia="Times New Roman" w:hAnsi="Verdana" w:cs="Times New Roman"/>
            <w:color w:val="000000"/>
            <w:highlight w:val="yellow"/>
            <w:u w:val="single"/>
          </w:rPr>
          <w:t>PRAC</w:t>
        </w:r>
      </w:hyperlink>
      <w:r w:rsidRPr="00422569">
        <w:rPr>
          <w:rFonts w:ascii="Verdana" w:eastAsia="Times New Roman" w:hAnsi="Verdana" w:cs="Times New Roman"/>
          <w:color w:val="000000"/>
          <w:highlight w:val="yellow"/>
        </w:rPr>
        <w:t>), the committee responsible for the evaluation of safety issues for human medicines, which made a set of recommendations. The </w:t>
      </w:r>
      <w:hyperlink r:id="rId14" w:tgtFrame="_blank" w:tooltip="Pharmacovigilance Risk Assessment Committee -  the committee that is responsible for assessing all aspects of the risk management of medicines for human use. &#13; &#13; More information can be found under 'Pharmacovigilance Risk Assessment Committee (PRAC)'." w:history="1">
        <w:r w:rsidRPr="00422569">
          <w:rPr>
            <w:rFonts w:ascii="Verdana" w:eastAsia="Times New Roman" w:hAnsi="Verdana" w:cs="Times New Roman"/>
            <w:color w:val="000000"/>
            <w:highlight w:val="yellow"/>
            <w:u w:val="single"/>
          </w:rPr>
          <w:t>PRAC</w:t>
        </w:r>
      </w:hyperlink>
      <w:r w:rsidRPr="00422569">
        <w:rPr>
          <w:rFonts w:ascii="Verdana" w:eastAsia="Times New Roman" w:hAnsi="Verdana" w:cs="Times New Roman"/>
          <w:color w:val="000000"/>
          <w:highlight w:val="yellow"/>
        </w:rPr>
        <w:t> recommendations will now be forwarded to the </w:t>
      </w:r>
      <w:hyperlink r:id="rId15" w:tgtFrame="_blank" w:tooltip="The committee that is responsible for preparing the Agency's opinions on questions concerning human medicines. Abbreviated as CHMP. &#13; &#13; More information can be found under 'Committee for Medicinal Products for Human Use (CHMP)'." w:history="1">
        <w:r w:rsidRPr="00422569">
          <w:rPr>
            <w:rFonts w:ascii="Verdana" w:eastAsia="Times New Roman" w:hAnsi="Verdana" w:cs="Times New Roman"/>
            <w:color w:val="000000"/>
            <w:highlight w:val="yellow"/>
            <w:u w:val="single"/>
          </w:rPr>
          <w:t>Committee for Medicinal Products for Human Use</w:t>
        </w:r>
      </w:hyperlink>
      <w:r w:rsidRPr="00422569">
        <w:rPr>
          <w:rFonts w:ascii="Verdana" w:eastAsia="Times New Roman" w:hAnsi="Verdana" w:cs="Times New Roman"/>
          <w:color w:val="000000"/>
          <w:highlight w:val="yellow"/>
        </w:rPr>
        <w:t>(</w:t>
      </w:r>
      <w:hyperlink r:id="rId16" w:tgtFrame="_blank" w:tooltip="Committee for Medicinal Products for Human Use -  the committee that is responsible for preparing the Agency's opinions on questions concerning human medicines. &#13; &#13; More information can be found under 'Committee for Medicinal Products for Human Use (CHMP)'." w:history="1">
        <w:r w:rsidRPr="00422569">
          <w:rPr>
            <w:rFonts w:ascii="Verdana" w:eastAsia="Times New Roman" w:hAnsi="Verdana" w:cs="Times New Roman"/>
            <w:color w:val="000000"/>
            <w:highlight w:val="yellow"/>
            <w:u w:val="single"/>
          </w:rPr>
          <w:t>CHMP</w:t>
        </w:r>
      </w:hyperlink>
      <w:r w:rsidRPr="00422569">
        <w:rPr>
          <w:rFonts w:ascii="Verdana" w:eastAsia="Times New Roman" w:hAnsi="Verdana" w:cs="Times New Roman"/>
          <w:color w:val="000000"/>
          <w:highlight w:val="yellow"/>
        </w:rPr>
        <w:t>), responsible for questions concerning medicines for human use, which will adopt an opinion. The final stage of the review procedure is the adoption by the European Commission of a legally binding decision applicable in all EU Member States.</w:t>
      </w:r>
    </w:p>
    <w:p w14:paraId="4AE162CC"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D6FE5"/>
    <w:multiLevelType w:val="multilevel"/>
    <w:tmpl w:val="C3CE5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604"/>
    <w:rsid w:val="00221604"/>
    <w:rsid w:val="00422569"/>
    <w:rsid w:val="00453EED"/>
    <w:rsid w:val="00B54EE6"/>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75397C"/>
  <w14:defaultImageDpi w14:val="32767"/>
  <w15:chartTrackingRefBased/>
  <w15:docId w15:val="{9F1914D5-D513-CF41-A68D-6119BA4BA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B54EE6"/>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EE6"/>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B54EE6"/>
  </w:style>
  <w:style w:type="character" w:customStyle="1" w:styleId="date-display-single">
    <w:name w:val="date-display-single"/>
    <w:basedOn w:val="DefaultParagraphFont"/>
    <w:rsid w:val="00B54EE6"/>
  </w:style>
  <w:style w:type="paragraph" w:styleId="NormalWeb">
    <w:name w:val="Normal (Web)"/>
    <w:basedOn w:val="Normal"/>
    <w:uiPriority w:val="99"/>
    <w:semiHidden/>
    <w:unhideWhenUsed/>
    <w:rsid w:val="00B54EE6"/>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B54EE6"/>
    <w:rPr>
      <w:color w:val="0000FF"/>
      <w:u w:val="single"/>
    </w:rPr>
  </w:style>
  <w:style w:type="character" w:styleId="Strong">
    <w:name w:val="Strong"/>
    <w:basedOn w:val="DefaultParagraphFont"/>
    <w:uiPriority w:val="22"/>
    <w:qFormat/>
    <w:rsid w:val="00B54E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0848877">
      <w:bodyDiv w:val="1"/>
      <w:marLeft w:val="0"/>
      <w:marRight w:val="0"/>
      <w:marTop w:val="0"/>
      <w:marBottom w:val="0"/>
      <w:divBdr>
        <w:top w:val="none" w:sz="0" w:space="0" w:color="auto"/>
        <w:left w:val="none" w:sz="0" w:space="0" w:color="auto"/>
        <w:bottom w:val="none" w:sz="0" w:space="0" w:color="auto"/>
        <w:right w:val="none" w:sz="0" w:space="0" w:color="auto"/>
      </w:divBdr>
      <w:divsChild>
        <w:div w:id="459612371">
          <w:marLeft w:val="0"/>
          <w:marRight w:val="0"/>
          <w:marTop w:val="0"/>
          <w:marBottom w:val="0"/>
          <w:divBdr>
            <w:top w:val="none" w:sz="0" w:space="0" w:color="auto"/>
            <w:left w:val="none" w:sz="0" w:space="0" w:color="auto"/>
            <w:bottom w:val="none" w:sz="0" w:space="0" w:color="auto"/>
            <w:right w:val="none" w:sz="0" w:space="0" w:color="auto"/>
          </w:divBdr>
          <w:divsChild>
            <w:div w:id="1947494561">
              <w:marLeft w:val="0"/>
              <w:marRight w:val="0"/>
              <w:marTop w:val="0"/>
              <w:marBottom w:val="0"/>
              <w:divBdr>
                <w:top w:val="none" w:sz="0" w:space="0" w:color="auto"/>
                <w:left w:val="none" w:sz="0" w:space="0" w:color="auto"/>
                <w:bottom w:val="none" w:sz="0" w:space="0" w:color="auto"/>
                <w:right w:val="none" w:sz="0" w:space="0" w:color="auto"/>
              </w:divBdr>
            </w:div>
          </w:divsChild>
        </w:div>
        <w:div w:id="1219170242">
          <w:marLeft w:val="0"/>
          <w:marRight w:val="0"/>
          <w:marTop w:val="0"/>
          <w:marBottom w:val="0"/>
          <w:divBdr>
            <w:top w:val="none" w:sz="0" w:space="0" w:color="auto"/>
            <w:left w:val="none" w:sz="0" w:space="0" w:color="auto"/>
            <w:bottom w:val="none" w:sz="0" w:space="0" w:color="auto"/>
            <w:right w:val="none" w:sz="0" w:space="0" w:color="auto"/>
          </w:divBdr>
        </w:div>
        <w:div w:id="448664225">
          <w:marLeft w:val="0"/>
          <w:marRight w:val="0"/>
          <w:marTop w:val="0"/>
          <w:marBottom w:val="0"/>
          <w:divBdr>
            <w:top w:val="none" w:sz="0" w:space="0" w:color="auto"/>
            <w:left w:val="none" w:sz="0" w:space="0" w:color="auto"/>
            <w:bottom w:val="none" w:sz="0" w:space="0" w:color="auto"/>
            <w:right w:val="none" w:sz="0" w:space="0" w:color="auto"/>
          </w:divBdr>
          <w:divsChild>
            <w:div w:id="1877086003">
              <w:marLeft w:val="0"/>
              <w:marRight w:val="0"/>
              <w:marTop w:val="0"/>
              <w:marBottom w:val="0"/>
              <w:divBdr>
                <w:top w:val="none" w:sz="0" w:space="0" w:color="auto"/>
                <w:left w:val="none" w:sz="0" w:space="0" w:color="auto"/>
                <w:bottom w:val="none" w:sz="0" w:space="0" w:color="auto"/>
                <w:right w:val="none" w:sz="0" w:space="0" w:color="auto"/>
              </w:divBdr>
              <w:divsChild>
                <w:div w:id="1810634396">
                  <w:marLeft w:val="0"/>
                  <w:marRight w:val="0"/>
                  <w:marTop w:val="0"/>
                  <w:marBottom w:val="0"/>
                  <w:divBdr>
                    <w:top w:val="none" w:sz="0" w:space="0" w:color="auto"/>
                    <w:left w:val="none" w:sz="0" w:space="0" w:color="auto"/>
                    <w:bottom w:val="none" w:sz="0" w:space="0" w:color="auto"/>
                    <w:right w:val="none" w:sz="0" w:space="0" w:color="auto"/>
                  </w:divBdr>
                  <w:divsChild>
                    <w:div w:id="395973159">
                      <w:marLeft w:val="0"/>
                      <w:marRight w:val="0"/>
                      <w:marTop w:val="0"/>
                      <w:marBottom w:val="0"/>
                      <w:divBdr>
                        <w:top w:val="none" w:sz="0" w:space="0" w:color="auto"/>
                        <w:left w:val="none" w:sz="0" w:space="0" w:color="auto"/>
                        <w:bottom w:val="none" w:sz="0" w:space="0" w:color="auto"/>
                        <w:right w:val="none" w:sz="0" w:space="0" w:color="auto"/>
                      </w:divBdr>
                      <w:divsChild>
                        <w:div w:id="2112972337">
                          <w:marLeft w:val="0"/>
                          <w:marRight w:val="0"/>
                          <w:marTop w:val="0"/>
                          <w:marBottom w:val="0"/>
                          <w:divBdr>
                            <w:top w:val="none" w:sz="0" w:space="0" w:color="auto"/>
                            <w:left w:val="none" w:sz="0" w:space="0" w:color="auto"/>
                            <w:bottom w:val="none" w:sz="0" w:space="0" w:color="auto"/>
                            <w:right w:val="none" w:sz="0" w:space="0" w:color="auto"/>
                          </w:divBdr>
                          <w:divsChild>
                            <w:div w:id="780685604">
                              <w:marLeft w:val="0"/>
                              <w:marRight w:val="0"/>
                              <w:marTop w:val="0"/>
                              <w:marBottom w:val="0"/>
                              <w:divBdr>
                                <w:top w:val="none" w:sz="0" w:space="0" w:color="auto"/>
                                <w:left w:val="none" w:sz="0" w:space="0" w:color="auto"/>
                                <w:bottom w:val="none" w:sz="0" w:space="0" w:color="auto"/>
                                <w:right w:val="none" w:sz="0" w:space="0" w:color="auto"/>
                              </w:divBdr>
                              <w:divsChild>
                                <w:div w:id="716199159">
                                  <w:marLeft w:val="0"/>
                                  <w:marRight w:val="0"/>
                                  <w:marTop w:val="0"/>
                                  <w:marBottom w:val="0"/>
                                  <w:divBdr>
                                    <w:top w:val="none" w:sz="0" w:space="0" w:color="auto"/>
                                    <w:left w:val="none" w:sz="0" w:space="0" w:color="auto"/>
                                    <w:bottom w:val="none" w:sz="0" w:space="0" w:color="auto"/>
                                    <w:right w:val="none" w:sz="0" w:space="0" w:color="auto"/>
                                  </w:divBdr>
                                  <w:divsChild>
                                    <w:div w:id="213158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ma.europa.eu/en/glossary/prac" TargetMode="External"/><Relationship Id="rId13" Type="http://schemas.openxmlformats.org/officeDocument/2006/relationships/hyperlink" Target="https://www.ema.europa.eu/en/glossary/prac"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ema.europa.eu/en/glossary/product-information" TargetMode="External"/><Relationship Id="rId12" Type="http://schemas.openxmlformats.org/officeDocument/2006/relationships/hyperlink" Target="https://www.ema.europa.eu/en/glossary/pharmacovigilance-risk-assessment-committe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ema.europa.eu/en/glossary/chmp" TargetMode="External"/><Relationship Id="rId1" Type="http://schemas.openxmlformats.org/officeDocument/2006/relationships/numbering" Target="numbering.xml"/><Relationship Id="rId6" Type="http://schemas.openxmlformats.org/officeDocument/2006/relationships/hyperlink" Target="https://www.ema.europa.eu/en/glossary/prac" TargetMode="External"/><Relationship Id="rId11" Type="http://schemas.openxmlformats.org/officeDocument/2006/relationships/hyperlink" Target="http://www.ema.europa.eu/ema/index.jsp?curl=pages/regulation/general/general_content_000150.jsp&amp;mid=WC0b01ac05800240d0" TargetMode="External"/><Relationship Id="rId5" Type="http://schemas.openxmlformats.org/officeDocument/2006/relationships/hyperlink" Target="https://www.ema.europa.eu/en/glossary/prac" TargetMode="External"/><Relationship Id="rId15" Type="http://schemas.openxmlformats.org/officeDocument/2006/relationships/hyperlink" Target="https://www.ema.europa.eu/en/glossary/committee-medicinal-products-human-use" TargetMode="External"/><Relationship Id="rId10" Type="http://schemas.openxmlformats.org/officeDocument/2006/relationships/hyperlink" Target="https://www.ema.europa.eu/en/glossary/chmp" TargetMode="External"/><Relationship Id="rId4" Type="http://schemas.openxmlformats.org/officeDocument/2006/relationships/webSettings" Target="webSettings.xml"/><Relationship Id="rId9" Type="http://schemas.openxmlformats.org/officeDocument/2006/relationships/hyperlink" Target="https://www.ema.europa.eu/en/glossary/committee-medicinal-products-human-use" TargetMode="External"/><Relationship Id="rId14" Type="http://schemas.openxmlformats.org/officeDocument/2006/relationships/hyperlink" Target="https://www.ema.europa.eu/en/glossary/pra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1198</Words>
  <Characters>6834</Characters>
  <Application>Microsoft Office Word</Application>
  <DocSecurity>0</DocSecurity>
  <Lines>56</Lines>
  <Paragraphs>16</Paragraphs>
  <ScaleCrop>false</ScaleCrop>
  <Company/>
  <LinksUpToDate>false</LinksUpToDate>
  <CharactersWithSpaces>8016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2020-02-18T12:57:00Z</dcterms:created>
  <dcterms:modified xsi:type="dcterms:W3CDTF">2020-05-11T09:52:00Z</dcterms:modified>
</cp:coreProperties>
</file>