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C70F" w14:textId="77777777" w:rsidR="00845E0B" w:rsidRPr="00845E0B" w:rsidRDefault="00845E0B" w:rsidP="00845E0B">
      <w:pPr>
        <w:outlineLvl w:val="0"/>
        <w:rPr>
          <w:rFonts w:ascii="Verdana" w:eastAsia="Times New Roman" w:hAnsi="Verdana" w:cs="Times New Roman"/>
          <w:color w:val="000000"/>
          <w:kern w:val="36"/>
          <w:sz w:val="48"/>
          <w:szCs w:val="48"/>
        </w:rPr>
      </w:pPr>
      <w:r w:rsidRPr="00845E0B">
        <w:rPr>
          <w:rFonts w:ascii="Verdana" w:eastAsia="Times New Roman" w:hAnsi="Verdana" w:cs="Times New Roman"/>
          <w:color w:val="000000"/>
          <w:kern w:val="36"/>
          <w:sz w:val="48"/>
          <w:szCs w:val="48"/>
        </w:rPr>
        <w:t>Meeting highlights from the Committee for Medicinal Products for Human Use (CHMP) 11-14 November 2019 (updated)</w:t>
      </w:r>
    </w:p>
    <w:p w14:paraId="737A54ED" w14:textId="77777777" w:rsidR="00845E0B" w:rsidRPr="00845E0B" w:rsidRDefault="00845E0B" w:rsidP="00845E0B">
      <w:pPr>
        <w:rPr>
          <w:rFonts w:ascii="Times New Roman" w:eastAsia="Times New Roman" w:hAnsi="Times New Roman" w:cs="Times New Roman"/>
        </w:rPr>
      </w:pPr>
      <w:r w:rsidRPr="00845E0B">
        <w:rPr>
          <w:rFonts w:ascii="Verdana" w:eastAsia="Times New Roman" w:hAnsi="Verdana" w:cs="Times New Roman"/>
          <w:color w:val="000000"/>
        </w:rPr>
        <w:t> </w:t>
      </w:r>
    </w:p>
    <w:p w14:paraId="3718F711" w14:textId="77777777" w:rsidR="00845E0B" w:rsidRPr="00845E0B" w:rsidRDefault="00845E0B" w:rsidP="00845E0B">
      <w:pPr>
        <w:rPr>
          <w:rFonts w:ascii="Verdana" w:eastAsia="Times New Roman" w:hAnsi="Verdana" w:cs="Times New Roman"/>
          <w:color w:val="000000"/>
        </w:rPr>
      </w:pPr>
      <w:r w:rsidRPr="00845E0B">
        <w:rPr>
          <w:rFonts w:ascii="Verdana" w:eastAsia="Times New Roman" w:hAnsi="Verdana" w:cs="Times New Roman"/>
          <w:color w:val="000000"/>
        </w:rPr>
        <w:t>Share</w:t>
      </w:r>
    </w:p>
    <w:p w14:paraId="53CB2177" w14:textId="77777777" w:rsidR="00845E0B" w:rsidRPr="00845E0B" w:rsidRDefault="00845E0B" w:rsidP="00845E0B">
      <w:pPr>
        <w:rPr>
          <w:rFonts w:ascii="Verdana" w:eastAsia="Times New Roman" w:hAnsi="Verdana" w:cs="Times New Roman"/>
          <w:color w:val="000000"/>
        </w:rPr>
      </w:pPr>
      <w:r w:rsidRPr="00845E0B">
        <w:rPr>
          <w:rFonts w:ascii="Verdana" w:eastAsia="Times New Roman" w:hAnsi="Verdana" w:cs="Times New Roman"/>
          <w:color w:val="000000"/>
        </w:rPr>
        <w:t>News 15/11/2019</w:t>
      </w:r>
    </w:p>
    <w:p w14:paraId="32CFA75A" w14:textId="77777777" w:rsidR="00845E0B" w:rsidRPr="00845E0B" w:rsidRDefault="00845E0B" w:rsidP="00845E0B">
      <w:pPr>
        <w:spacing w:before="100" w:beforeAutospacing="1" w:after="100" w:afterAutospacing="1"/>
        <w:outlineLvl w:val="3"/>
        <w:rPr>
          <w:rFonts w:ascii="Verdana" w:eastAsia="Times New Roman" w:hAnsi="Verdana" w:cs="Times New Roman"/>
          <w:b/>
          <w:bCs/>
          <w:color w:val="404040"/>
        </w:rPr>
      </w:pPr>
      <w:r w:rsidRPr="00845E0B">
        <w:rPr>
          <w:rFonts w:ascii="Verdana" w:eastAsia="Times New Roman" w:hAnsi="Verdana" w:cs="Times New Roman"/>
          <w:b/>
          <w:bCs/>
          <w:color w:val="404040"/>
        </w:rPr>
        <w:t>Seven new medicines recommended for approval</w:t>
      </w:r>
    </w:p>
    <w:p w14:paraId="6353E85B"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recommended seven medicines for approval at its November 2019 meeting.</w:t>
      </w:r>
    </w:p>
    <w:p w14:paraId="2505E1E6"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Committee recommended granting a </w:t>
      </w:r>
      <w:hyperlink r:id="rId5" w:tgtFrame="_blank" w:tooltip="The approval to market a medicine in one, several or all European Union Member States." w:history="1">
        <w:r w:rsidRPr="00845E0B">
          <w:rPr>
            <w:rFonts w:ascii="Verdana" w:eastAsia="Times New Roman" w:hAnsi="Verdana" w:cs="Times New Roman"/>
            <w:color w:val="000000"/>
            <w:u w:val="single"/>
          </w:rPr>
          <w:t xml:space="preserve">marketing </w:t>
        </w:r>
        <w:proofErr w:type="spellStart"/>
        <w:r w:rsidRPr="00845E0B">
          <w:rPr>
            <w:rFonts w:ascii="Verdana" w:eastAsia="Times New Roman" w:hAnsi="Verdana" w:cs="Times New Roman"/>
            <w:color w:val="000000"/>
            <w:u w:val="single"/>
          </w:rPr>
          <w:t>authorisation</w:t>
        </w:r>
        <w:proofErr w:type="spellEnd"/>
      </w:hyperlink>
      <w:r w:rsidRPr="00845E0B">
        <w:rPr>
          <w:rFonts w:ascii="Verdana" w:eastAsia="Times New Roman" w:hAnsi="Verdana" w:cs="Times New Roman"/>
          <w:color w:val="000000"/>
        </w:rPr>
        <w:t> for </w:t>
      </w:r>
      <w:proofErr w:type="spellStart"/>
      <w:r w:rsidRPr="00866356">
        <w:rPr>
          <w:rFonts w:ascii="Verdana" w:eastAsia="Times New Roman" w:hAnsi="Verdana" w:cs="Times New Roman"/>
          <w:b/>
          <w:bCs/>
          <w:color w:val="000000"/>
          <w:highlight w:val="darkGray"/>
        </w:rPr>
        <w:t>Isturisa</w:t>
      </w:r>
      <w:proofErr w:type="spellEnd"/>
      <w:r w:rsidRPr="00866356">
        <w:rPr>
          <w:rFonts w:ascii="Verdana" w:eastAsia="Times New Roman" w:hAnsi="Verdana" w:cs="Times New Roman"/>
          <w:color w:val="000000"/>
          <w:highlight w:val="darkGray"/>
        </w:rPr>
        <w:t>* (</w:t>
      </w:r>
      <w:proofErr w:type="spellStart"/>
      <w:r w:rsidRPr="00866356">
        <w:rPr>
          <w:rFonts w:ascii="Verdana" w:eastAsia="Times New Roman" w:hAnsi="Verdana" w:cs="Times New Roman"/>
          <w:color w:val="000000"/>
          <w:highlight w:val="darkGray"/>
        </w:rPr>
        <w:t>osilodrostat</w:t>
      </w:r>
      <w:proofErr w:type="spellEnd"/>
      <w:r w:rsidRPr="00866356">
        <w:rPr>
          <w:rFonts w:ascii="Verdana" w:eastAsia="Times New Roman" w:hAnsi="Verdana" w:cs="Times New Roman"/>
          <w:color w:val="000000"/>
          <w:highlight w:val="darkGray"/>
        </w:rPr>
        <w:t>) for the treatment of Cushing’s syndrome, a rare disorder that occurs when the body produces too much corticosteroid hormone. It leads to patients experiencing weight gain, fat build-up on the face and bruising</w:t>
      </w:r>
      <w:bookmarkStart w:id="0" w:name="_GoBack"/>
      <w:bookmarkEnd w:id="0"/>
      <w:r w:rsidRPr="00866356">
        <w:rPr>
          <w:rFonts w:ascii="Verdana" w:eastAsia="Times New Roman" w:hAnsi="Verdana" w:cs="Times New Roman"/>
          <w:color w:val="000000"/>
          <w:highlight w:val="darkGray"/>
        </w:rPr>
        <w:t>.</w:t>
      </w:r>
    </w:p>
    <w:p w14:paraId="6DB7EB2D" w14:textId="77777777" w:rsidR="00845E0B" w:rsidRPr="00845E0B" w:rsidRDefault="00845E0B" w:rsidP="00845E0B">
      <w:pPr>
        <w:spacing w:before="100" w:beforeAutospacing="1" w:after="100" w:afterAutospacing="1"/>
        <w:rPr>
          <w:rFonts w:ascii="Verdana" w:eastAsia="Times New Roman" w:hAnsi="Verdana" w:cs="Times New Roman"/>
          <w:color w:val="000000"/>
        </w:rPr>
      </w:pPr>
      <w:proofErr w:type="spellStart"/>
      <w:r w:rsidRPr="00845E0B">
        <w:rPr>
          <w:rFonts w:ascii="Verdana" w:eastAsia="Times New Roman" w:hAnsi="Verdana" w:cs="Times New Roman"/>
          <w:b/>
          <w:bCs/>
          <w:color w:val="000000"/>
        </w:rPr>
        <w:t>Mayzent</w:t>
      </w:r>
      <w:proofErr w:type="spellEnd"/>
      <w:r w:rsidRPr="00845E0B">
        <w:rPr>
          <w:rFonts w:ascii="Verdana" w:eastAsia="Times New Roman" w:hAnsi="Verdana" w:cs="Times New Roman"/>
          <w:color w:val="000000"/>
        </w:rPr>
        <w:t> (</w:t>
      </w:r>
      <w:proofErr w:type="spellStart"/>
      <w:r w:rsidRPr="00845E0B">
        <w:rPr>
          <w:rFonts w:ascii="Verdana" w:eastAsia="Times New Roman" w:hAnsi="Verdana" w:cs="Times New Roman"/>
          <w:color w:val="000000"/>
        </w:rPr>
        <w:t>siponimod</w:t>
      </w:r>
      <w:proofErr w:type="spellEnd"/>
      <w:r w:rsidRPr="00845E0B">
        <w:rPr>
          <w:rFonts w:ascii="Verdana" w:eastAsia="Times New Roman" w:hAnsi="Verdana" w:cs="Times New Roman"/>
          <w:color w:val="000000"/>
        </w:rPr>
        <w:t>) received a positive opinion for the treatment of adult patients with secondary progressive multiple sclerosis with active disease evidenced by relapses or imaging features of inflammatory activity.</w:t>
      </w:r>
    </w:p>
    <w:p w14:paraId="43C60726"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Committee recommended granting a </w:t>
      </w:r>
      <w:hyperlink r:id="rId6" w:tgtFrame="_blank" w:tooltip="The approval of a medicine that address unmet medical needs of patients on the basis of less comprehensive data than normally required. The available data must indicate that the medicine’s benefits outweigh its risks and the applicant should be in a position to provide the comprehensive clinical data in the future. &#13; &#13; More information can be found under 'Conditional marketing authorisation'." w:history="1">
        <w:r w:rsidRPr="00845E0B">
          <w:rPr>
            <w:rFonts w:ascii="Verdana" w:eastAsia="Times New Roman" w:hAnsi="Verdana" w:cs="Times New Roman"/>
            <w:color w:val="000000"/>
            <w:u w:val="single"/>
          </w:rPr>
          <w:t xml:space="preserve">conditional marketing </w:t>
        </w:r>
        <w:proofErr w:type="spellStart"/>
        <w:r w:rsidRPr="00845E0B">
          <w:rPr>
            <w:rFonts w:ascii="Verdana" w:eastAsia="Times New Roman" w:hAnsi="Verdana" w:cs="Times New Roman"/>
            <w:color w:val="000000"/>
            <w:u w:val="single"/>
          </w:rPr>
          <w:t>authorisation</w:t>
        </w:r>
        <w:proofErr w:type="spellEnd"/>
      </w:hyperlink>
      <w:r w:rsidRPr="00845E0B">
        <w:rPr>
          <w:rFonts w:ascii="Verdana" w:eastAsia="Times New Roman" w:hAnsi="Verdana" w:cs="Times New Roman"/>
          <w:color w:val="000000"/>
        </w:rPr>
        <w:t> for </w:t>
      </w:r>
      <w:proofErr w:type="spellStart"/>
      <w:r w:rsidRPr="00845E0B">
        <w:rPr>
          <w:rFonts w:ascii="Verdana" w:eastAsia="Times New Roman" w:hAnsi="Verdana" w:cs="Times New Roman"/>
          <w:b/>
          <w:bCs/>
          <w:color w:val="000000"/>
        </w:rPr>
        <w:t>Polivy</w:t>
      </w:r>
      <w:proofErr w:type="spellEnd"/>
      <w:r w:rsidRPr="00845E0B">
        <w:rPr>
          <w:rFonts w:ascii="Verdana" w:eastAsia="Times New Roman" w:hAnsi="Verdana" w:cs="Times New Roman"/>
          <w:color w:val="000000"/>
        </w:rPr>
        <w:t>* (</w:t>
      </w:r>
      <w:proofErr w:type="spellStart"/>
      <w:r w:rsidRPr="00845E0B">
        <w:rPr>
          <w:rFonts w:ascii="Verdana" w:eastAsia="Times New Roman" w:hAnsi="Verdana" w:cs="Times New Roman"/>
          <w:color w:val="000000"/>
        </w:rPr>
        <w:t>polatuzumab</w:t>
      </w:r>
      <w:proofErr w:type="spellEnd"/>
      <w:r w:rsidRPr="00845E0B">
        <w:rPr>
          <w:rFonts w:ascii="Verdana" w:eastAsia="Times New Roman" w:hAnsi="Verdana" w:cs="Times New Roman"/>
          <w:color w:val="000000"/>
        </w:rPr>
        <w:t xml:space="preserve"> </w:t>
      </w:r>
      <w:proofErr w:type="spellStart"/>
      <w:r w:rsidRPr="00845E0B">
        <w:rPr>
          <w:rFonts w:ascii="Verdana" w:eastAsia="Times New Roman" w:hAnsi="Verdana" w:cs="Times New Roman"/>
          <w:color w:val="000000"/>
        </w:rPr>
        <w:t>vedotin</w:t>
      </w:r>
      <w:proofErr w:type="spellEnd"/>
      <w:r w:rsidRPr="00845E0B">
        <w:rPr>
          <w:rFonts w:ascii="Verdana" w:eastAsia="Times New Roman" w:hAnsi="Verdana" w:cs="Times New Roman"/>
          <w:color w:val="000000"/>
        </w:rPr>
        <w:t>) for the treatment of relapsed/refractory diffuse large B-cell lymphoma, a rare type of cancer of the white blood cells. </w:t>
      </w:r>
      <w:proofErr w:type="spellStart"/>
      <w:r w:rsidRPr="00845E0B">
        <w:rPr>
          <w:rFonts w:ascii="Verdana" w:eastAsia="Times New Roman" w:hAnsi="Verdana" w:cs="Times New Roman"/>
          <w:color w:val="000000"/>
        </w:rPr>
        <w:t>Polivy</w:t>
      </w:r>
      <w:proofErr w:type="spellEnd"/>
      <w:r w:rsidRPr="00845E0B">
        <w:rPr>
          <w:rFonts w:ascii="Verdana" w:eastAsia="Times New Roman" w:hAnsi="Verdana" w:cs="Times New Roman"/>
          <w:color w:val="000000"/>
        </w:rPr>
        <w:t xml:space="preserve"> was supported through EMA’s </w:t>
      </w:r>
      <w:proofErr w:type="spellStart"/>
      <w:r w:rsidRPr="00845E0B">
        <w:rPr>
          <w:rFonts w:ascii="Verdana" w:eastAsia="Times New Roman" w:hAnsi="Verdana" w:cs="Times New Roman"/>
          <w:color w:val="000000"/>
        </w:rPr>
        <w:t>PRIority</w:t>
      </w:r>
      <w:proofErr w:type="spellEnd"/>
      <w:r w:rsidRPr="00845E0B">
        <w:rPr>
          <w:rFonts w:ascii="Verdana" w:eastAsia="Times New Roman" w:hAnsi="Verdana" w:cs="Times New Roman"/>
          <w:color w:val="000000"/>
        </w:rPr>
        <w:t xml:space="preserve"> </w:t>
      </w:r>
      <w:proofErr w:type="spellStart"/>
      <w:r w:rsidRPr="00845E0B">
        <w:rPr>
          <w:rFonts w:ascii="Verdana" w:eastAsia="Times New Roman" w:hAnsi="Verdana" w:cs="Times New Roman"/>
          <w:color w:val="000000"/>
        </w:rPr>
        <w:t>MEdicines</w:t>
      </w:r>
      <w:proofErr w:type="spellEnd"/>
      <w:r w:rsidRPr="00845E0B">
        <w:rPr>
          <w:rFonts w:ascii="Verdana" w:eastAsia="Times New Roman" w:hAnsi="Verdana" w:cs="Times New Roman"/>
          <w:color w:val="000000"/>
        </w:rPr>
        <w:t xml:space="preserve"> (PRIME) </w:t>
      </w:r>
      <w:proofErr w:type="gramStart"/>
      <w:r w:rsidRPr="00845E0B">
        <w:rPr>
          <w:rFonts w:ascii="Verdana" w:eastAsia="Times New Roman" w:hAnsi="Verdana" w:cs="Times New Roman"/>
          <w:color w:val="000000"/>
        </w:rPr>
        <w:t>scheme.*</w:t>
      </w:r>
      <w:proofErr w:type="gramEnd"/>
      <w:r w:rsidRPr="00845E0B">
        <w:rPr>
          <w:rFonts w:ascii="Verdana" w:eastAsia="Times New Roman" w:hAnsi="Verdana" w:cs="Times New Roman"/>
          <w:color w:val="000000"/>
        </w:rPr>
        <w:t>*</w:t>
      </w:r>
    </w:p>
    <w:p w14:paraId="1F0D0291"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w:t>
      </w:r>
      <w:hyperlink r:id="rId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adopted a positive opinion for </w:t>
      </w:r>
      <w:proofErr w:type="spellStart"/>
      <w:r w:rsidRPr="00845E0B">
        <w:rPr>
          <w:rFonts w:ascii="Verdana" w:eastAsia="Times New Roman" w:hAnsi="Verdana" w:cs="Times New Roman"/>
          <w:b/>
          <w:bCs/>
          <w:color w:val="000000"/>
        </w:rPr>
        <w:t>Sunosi</w:t>
      </w:r>
      <w:proofErr w:type="spellEnd"/>
      <w:r w:rsidRPr="00845E0B">
        <w:rPr>
          <w:rFonts w:ascii="Verdana" w:eastAsia="Times New Roman" w:hAnsi="Verdana" w:cs="Times New Roman"/>
          <w:color w:val="000000"/>
        </w:rPr>
        <w:t> (</w:t>
      </w:r>
      <w:proofErr w:type="spellStart"/>
      <w:r w:rsidRPr="00845E0B">
        <w:rPr>
          <w:rFonts w:ascii="Verdana" w:eastAsia="Times New Roman" w:hAnsi="Verdana" w:cs="Times New Roman"/>
          <w:color w:val="000000"/>
        </w:rPr>
        <w:t>solriamfetol</w:t>
      </w:r>
      <w:proofErr w:type="spellEnd"/>
      <w:r w:rsidRPr="00845E0B">
        <w:rPr>
          <w:rFonts w:ascii="Verdana" w:eastAsia="Times New Roman" w:hAnsi="Verdana" w:cs="Times New Roman"/>
          <w:color w:val="000000"/>
        </w:rPr>
        <w:t xml:space="preserve">), for the treatment of excessive daytime sleepiness in patients with narcolepsy (a sleep disorder that causes a person to fall asleep suddenly and unexpectedly) and obstructive sleep </w:t>
      </w:r>
      <w:proofErr w:type="spellStart"/>
      <w:r w:rsidRPr="00845E0B">
        <w:rPr>
          <w:rFonts w:ascii="Verdana" w:eastAsia="Times New Roman" w:hAnsi="Verdana" w:cs="Times New Roman"/>
          <w:color w:val="000000"/>
        </w:rPr>
        <w:t>apnoea</w:t>
      </w:r>
      <w:proofErr w:type="spellEnd"/>
      <w:r w:rsidRPr="00845E0B">
        <w:rPr>
          <w:rFonts w:ascii="Verdana" w:eastAsia="Times New Roman" w:hAnsi="Verdana" w:cs="Times New Roman"/>
          <w:color w:val="000000"/>
        </w:rPr>
        <w:t xml:space="preserve"> (interruption of breathing).</w:t>
      </w:r>
    </w:p>
    <w:p w14:paraId="51282C46" w14:textId="77777777" w:rsidR="00845E0B" w:rsidRPr="00845E0B" w:rsidRDefault="00845E0B" w:rsidP="00845E0B">
      <w:pPr>
        <w:spacing w:beforeAutospacing="1" w:afterAutospacing="1"/>
        <w:rPr>
          <w:rFonts w:ascii="Verdana" w:eastAsia="Times New Roman" w:hAnsi="Verdana" w:cs="Times New Roman"/>
          <w:color w:val="000000"/>
        </w:rPr>
      </w:pPr>
      <w:proofErr w:type="spellStart"/>
      <w:r w:rsidRPr="00845E0B">
        <w:rPr>
          <w:rFonts w:ascii="Verdana" w:eastAsia="Times New Roman" w:hAnsi="Verdana" w:cs="Times New Roman"/>
          <w:b/>
          <w:bCs/>
          <w:color w:val="000000"/>
        </w:rPr>
        <w:t>Tavlesse</w:t>
      </w:r>
      <w:proofErr w:type="spellEnd"/>
      <w:r w:rsidRPr="00845E0B">
        <w:rPr>
          <w:rFonts w:ascii="Verdana" w:eastAsia="Times New Roman" w:hAnsi="Verdana" w:cs="Times New Roman"/>
          <w:color w:val="000000"/>
        </w:rPr>
        <w:t> (fostamatinib) received a positive opinion from the </w:t>
      </w:r>
      <w:hyperlink r:id="rId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xml:space="preserve"> for the treatment of primary immune thrombocytopenia. This is an acquired immune-mediated disorder </w:t>
      </w:r>
      <w:proofErr w:type="spellStart"/>
      <w:r w:rsidRPr="00845E0B">
        <w:rPr>
          <w:rFonts w:ascii="Verdana" w:eastAsia="Times New Roman" w:hAnsi="Verdana" w:cs="Times New Roman"/>
          <w:color w:val="000000"/>
        </w:rPr>
        <w:t>characterised</w:t>
      </w:r>
      <w:proofErr w:type="spellEnd"/>
      <w:r w:rsidRPr="00845E0B">
        <w:rPr>
          <w:rFonts w:ascii="Verdana" w:eastAsia="Times New Roman" w:hAnsi="Verdana" w:cs="Times New Roman"/>
          <w:color w:val="000000"/>
        </w:rPr>
        <w:t xml:space="preserve"> by the destruction of platelets and impaired platelet production.</w:t>
      </w:r>
    </w:p>
    <w:p w14:paraId="0D374ABB"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lastRenderedPageBreak/>
        <w:t>The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recommended granting </w:t>
      </w:r>
      <w:hyperlink r:id="rId10" w:tgtFrame="_blank" w:tooltip="The approval to market a medicine in one, several or all European Union Member States." w:history="1">
        <w:r w:rsidRPr="00845E0B">
          <w:rPr>
            <w:rFonts w:ascii="Verdana" w:eastAsia="Times New Roman" w:hAnsi="Verdana" w:cs="Times New Roman"/>
            <w:color w:val="000000"/>
            <w:u w:val="single"/>
          </w:rPr>
          <w:t xml:space="preserve">marketing </w:t>
        </w:r>
        <w:proofErr w:type="spellStart"/>
        <w:r w:rsidRPr="00845E0B">
          <w:rPr>
            <w:rFonts w:ascii="Verdana" w:eastAsia="Times New Roman" w:hAnsi="Verdana" w:cs="Times New Roman"/>
            <w:color w:val="000000"/>
            <w:u w:val="single"/>
          </w:rPr>
          <w:t>authorisations</w:t>
        </w:r>
        <w:proofErr w:type="spellEnd"/>
      </w:hyperlink>
      <w:r w:rsidRPr="00845E0B">
        <w:rPr>
          <w:rFonts w:ascii="Verdana" w:eastAsia="Times New Roman" w:hAnsi="Verdana" w:cs="Times New Roman"/>
          <w:color w:val="000000"/>
        </w:rPr>
        <w:t> for two </w:t>
      </w:r>
      <w:hyperlink r:id="rId11" w:tgtFrame="_blank" w:tooltip="A generic medicine is a medicine that is developed to be the same as a medicine that has already been authorised. Its authorisation is based on efficacy and safety data from studies on the authorised medicine. A company can only market a generic medicine once the 10-year exclusivity period for the original medicine has expired. &#13; &#13; More information can be found under Generic and hybrid medicines" w:history="1">
        <w:r w:rsidRPr="00845E0B">
          <w:rPr>
            <w:rFonts w:ascii="Verdana" w:eastAsia="Times New Roman" w:hAnsi="Verdana" w:cs="Times New Roman"/>
            <w:color w:val="000000"/>
            <w:u w:val="single"/>
          </w:rPr>
          <w:t>generic medicines</w:t>
        </w:r>
      </w:hyperlink>
      <w:r w:rsidRPr="00845E0B">
        <w:rPr>
          <w:rFonts w:ascii="Verdana" w:eastAsia="Times New Roman" w:hAnsi="Verdana" w:cs="Times New Roman"/>
          <w:color w:val="000000"/>
        </w:rPr>
        <w:t>: </w:t>
      </w:r>
      <w:proofErr w:type="spellStart"/>
      <w:r w:rsidRPr="00845E0B">
        <w:rPr>
          <w:rFonts w:ascii="Verdana" w:eastAsia="Times New Roman" w:hAnsi="Verdana" w:cs="Times New Roman"/>
          <w:b/>
          <w:bCs/>
          <w:color w:val="000000"/>
        </w:rPr>
        <w:t>Clopidogrel</w:t>
      </w:r>
      <w:proofErr w:type="spellEnd"/>
      <w:r w:rsidRPr="00845E0B">
        <w:rPr>
          <w:rFonts w:ascii="Verdana" w:eastAsia="Times New Roman" w:hAnsi="Verdana" w:cs="Times New Roman"/>
          <w:b/>
          <w:bCs/>
          <w:color w:val="000000"/>
        </w:rPr>
        <w:t>/Acetylsalicylic acid Mylan</w:t>
      </w:r>
      <w:r w:rsidRPr="00845E0B">
        <w:rPr>
          <w:rFonts w:ascii="Verdana" w:eastAsia="Times New Roman" w:hAnsi="Verdana" w:cs="Times New Roman"/>
          <w:color w:val="000000"/>
        </w:rPr>
        <w:t> (</w:t>
      </w:r>
      <w:proofErr w:type="spellStart"/>
      <w:r w:rsidRPr="00845E0B">
        <w:rPr>
          <w:rFonts w:ascii="Verdana" w:eastAsia="Times New Roman" w:hAnsi="Verdana" w:cs="Times New Roman"/>
          <w:color w:val="000000"/>
        </w:rPr>
        <w:t>clopidogrel</w:t>
      </w:r>
      <w:proofErr w:type="spellEnd"/>
      <w:r w:rsidRPr="00845E0B">
        <w:rPr>
          <w:rFonts w:ascii="Verdana" w:eastAsia="Times New Roman" w:hAnsi="Verdana" w:cs="Times New Roman"/>
          <w:color w:val="000000"/>
        </w:rPr>
        <w:t xml:space="preserve"> / acetylsalicylic acid), for the secondary prevention of atherothrombotic events (problems caused by blood clots and hardening of the arteries); and </w:t>
      </w:r>
      <w:proofErr w:type="spellStart"/>
      <w:r w:rsidRPr="00845E0B">
        <w:rPr>
          <w:rFonts w:ascii="Verdana" w:eastAsia="Times New Roman" w:hAnsi="Verdana" w:cs="Times New Roman"/>
          <w:b/>
          <w:bCs/>
          <w:color w:val="000000"/>
        </w:rPr>
        <w:t>Deferasirox</w:t>
      </w:r>
      <w:proofErr w:type="spellEnd"/>
      <w:r w:rsidRPr="00845E0B">
        <w:rPr>
          <w:rFonts w:ascii="Verdana" w:eastAsia="Times New Roman" w:hAnsi="Verdana" w:cs="Times New Roman"/>
          <w:b/>
          <w:bCs/>
          <w:color w:val="000000"/>
        </w:rPr>
        <w:t xml:space="preserve"> Accord</w:t>
      </w:r>
      <w:r w:rsidRPr="00845E0B">
        <w:rPr>
          <w:rFonts w:ascii="Verdana" w:eastAsia="Times New Roman" w:hAnsi="Verdana" w:cs="Times New Roman"/>
          <w:color w:val="000000"/>
        </w:rPr>
        <w:t> (</w:t>
      </w:r>
      <w:proofErr w:type="spellStart"/>
      <w:r w:rsidRPr="00845E0B">
        <w:rPr>
          <w:rFonts w:ascii="Verdana" w:eastAsia="Times New Roman" w:hAnsi="Verdana" w:cs="Times New Roman"/>
          <w:color w:val="000000"/>
        </w:rPr>
        <w:t>deferasirox</w:t>
      </w:r>
      <w:proofErr w:type="spellEnd"/>
      <w:r w:rsidRPr="00845E0B">
        <w:rPr>
          <w:rFonts w:ascii="Verdana" w:eastAsia="Times New Roman" w:hAnsi="Verdana" w:cs="Times New Roman"/>
          <w:color w:val="000000"/>
        </w:rPr>
        <w:t xml:space="preserve">), for the treatment of chronic iron overload due to blood transfusions in patients with beta </w:t>
      </w:r>
      <w:proofErr w:type="spellStart"/>
      <w:r w:rsidRPr="00845E0B">
        <w:rPr>
          <w:rFonts w:ascii="Verdana" w:eastAsia="Times New Roman" w:hAnsi="Verdana" w:cs="Times New Roman"/>
          <w:color w:val="000000"/>
        </w:rPr>
        <w:t>thalassaemia</w:t>
      </w:r>
      <w:proofErr w:type="spellEnd"/>
      <w:r w:rsidRPr="00845E0B">
        <w:rPr>
          <w:rFonts w:ascii="Verdana" w:eastAsia="Times New Roman" w:hAnsi="Verdana" w:cs="Times New Roman"/>
          <w:color w:val="000000"/>
        </w:rPr>
        <w:t xml:space="preserve"> and other </w:t>
      </w:r>
      <w:proofErr w:type="spellStart"/>
      <w:r w:rsidRPr="00845E0B">
        <w:rPr>
          <w:rFonts w:ascii="Verdana" w:eastAsia="Times New Roman" w:hAnsi="Verdana" w:cs="Times New Roman"/>
          <w:color w:val="000000"/>
        </w:rPr>
        <w:t>anaemias</w:t>
      </w:r>
      <w:proofErr w:type="spellEnd"/>
      <w:r w:rsidRPr="00845E0B">
        <w:rPr>
          <w:rFonts w:ascii="Verdana" w:eastAsia="Times New Roman" w:hAnsi="Verdana" w:cs="Times New Roman"/>
          <w:color w:val="000000"/>
        </w:rPr>
        <w:t>.</w:t>
      </w:r>
    </w:p>
    <w:p w14:paraId="1D3A9E7C"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b/>
          <w:bCs/>
          <w:color w:val="000000"/>
        </w:rPr>
        <w:t>Start of </w:t>
      </w:r>
      <w:hyperlink r:id="rId12" w:tgtFrame="_blank" w:tooltip="A review of an opinion by a scientific committee of the Agency, triggered at the request of the applicant." w:history="1">
        <w:r w:rsidRPr="00845E0B">
          <w:rPr>
            <w:rFonts w:ascii="Verdana" w:eastAsia="Times New Roman" w:hAnsi="Verdana" w:cs="Times New Roman"/>
            <w:b/>
            <w:bCs/>
            <w:color w:val="000000"/>
            <w:u w:val="single"/>
          </w:rPr>
          <w:t>re-examination</w:t>
        </w:r>
      </w:hyperlink>
      <w:r w:rsidRPr="00845E0B">
        <w:rPr>
          <w:rFonts w:ascii="Verdana" w:eastAsia="Times New Roman" w:hAnsi="Verdana" w:cs="Times New Roman"/>
          <w:b/>
          <w:bCs/>
          <w:color w:val="000000"/>
        </w:rPr>
        <w:t> of recommendation for new medicine</w:t>
      </w:r>
    </w:p>
    <w:p w14:paraId="6CDEB783"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applicant for </w:t>
      </w:r>
      <w:proofErr w:type="spellStart"/>
      <w:r w:rsidRPr="00845E0B">
        <w:rPr>
          <w:rFonts w:ascii="Verdana" w:eastAsia="Times New Roman" w:hAnsi="Verdana" w:cs="Times New Roman"/>
          <w:b/>
          <w:bCs/>
          <w:color w:val="000000"/>
        </w:rPr>
        <w:t>Hopveus</w:t>
      </w:r>
      <w:proofErr w:type="spellEnd"/>
      <w:r w:rsidRPr="00845E0B">
        <w:rPr>
          <w:rFonts w:ascii="Verdana" w:eastAsia="Times New Roman" w:hAnsi="Verdana" w:cs="Times New Roman"/>
          <w:color w:val="000000"/>
        </w:rPr>
        <w:t xml:space="preserve"> (sodium </w:t>
      </w:r>
      <w:proofErr w:type="spellStart"/>
      <w:r w:rsidRPr="00845E0B">
        <w:rPr>
          <w:rFonts w:ascii="Verdana" w:eastAsia="Times New Roman" w:hAnsi="Verdana" w:cs="Times New Roman"/>
          <w:color w:val="000000"/>
        </w:rPr>
        <w:t>oxybate</w:t>
      </w:r>
      <w:proofErr w:type="spellEnd"/>
      <w:r w:rsidRPr="00845E0B">
        <w:rPr>
          <w:rFonts w:ascii="Verdana" w:eastAsia="Times New Roman" w:hAnsi="Verdana" w:cs="Times New Roman"/>
          <w:color w:val="000000"/>
        </w:rPr>
        <w:t>) has requested a </w:t>
      </w:r>
      <w:hyperlink r:id="rId13" w:tgtFrame="_blank" w:tooltip="A review of an opinion by a scientific committee of the Agency, triggered at the request of the applicant." w:history="1">
        <w:r w:rsidRPr="00845E0B">
          <w:rPr>
            <w:rFonts w:ascii="Verdana" w:eastAsia="Times New Roman" w:hAnsi="Verdana" w:cs="Times New Roman"/>
            <w:color w:val="000000"/>
            <w:u w:val="single"/>
          </w:rPr>
          <w:t>re-examination</w:t>
        </w:r>
      </w:hyperlink>
      <w:r w:rsidRPr="00845E0B">
        <w:rPr>
          <w:rFonts w:ascii="Verdana" w:eastAsia="Times New Roman" w:hAnsi="Verdana" w:cs="Times New Roman"/>
          <w:color w:val="000000"/>
        </w:rPr>
        <w:t> of the Committee's negative opinion for this medicine adopted at the October 2019 meeting. The </w:t>
      </w:r>
      <w:hyperlink r:id="rId1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will re-examine the opinion and issue a final recommendation. For more information on this negative opinion, please see the question-and-answer document in the grid below.</w:t>
      </w:r>
    </w:p>
    <w:p w14:paraId="37330CD5"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b/>
          <w:bCs/>
          <w:color w:val="000000"/>
        </w:rPr>
        <w:t>Two recommendations on extensions of therapeutic </w:t>
      </w:r>
      <w:hyperlink r:id="rId15" w:tgtFrame="_blank" w:tooltip="A medical condition that a medicine is used for. This can include the treatment, prevention and diagnosis of a disease." w:history="1">
        <w:r w:rsidRPr="00845E0B">
          <w:rPr>
            <w:rFonts w:ascii="Verdana" w:eastAsia="Times New Roman" w:hAnsi="Verdana" w:cs="Times New Roman"/>
            <w:b/>
            <w:bCs/>
            <w:color w:val="000000"/>
            <w:u w:val="single"/>
          </w:rPr>
          <w:t>indication</w:t>
        </w:r>
      </w:hyperlink>
    </w:p>
    <w:p w14:paraId="3C80251D"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Committee recommended extensions of </w:t>
      </w:r>
      <w:hyperlink r:id="rId16" w:tgtFrame="_blank" w:tooltip="A medical condition that a medicine is used for. This can include the treatment, prevention and diagnosis of a disease." w:history="1">
        <w:r w:rsidRPr="00845E0B">
          <w:rPr>
            <w:rFonts w:ascii="Verdana" w:eastAsia="Times New Roman" w:hAnsi="Verdana" w:cs="Times New Roman"/>
            <w:color w:val="000000"/>
            <w:u w:val="single"/>
          </w:rPr>
          <w:t>indication</w:t>
        </w:r>
      </w:hyperlink>
      <w:r w:rsidRPr="00845E0B">
        <w:rPr>
          <w:rFonts w:ascii="Verdana" w:eastAsia="Times New Roman" w:hAnsi="Verdana" w:cs="Times New Roman"/>
          <w:color w:val="000000"/>
        </w:rPr>
        <w:t> for </w:t>
      </w:r>
      <w:proofErr w:type="spellStart"/>
      <w:r w:rsidRPr="00845E0B">
        <w:rPr>
          <w:rFonts w:ascii="Verdana" w:eastAsia="Times New Roman" w:hAnsi="Verdana" w:cs="Times New Roman"/>
          <w:b/>
          <w:bCs/>
          <w:color w:val="000000"/>
        </w:rPr>
        <w:t>Kadcyla</w:t>
      </w:r>
      <w:proofErr w:type="spellEnd"/>
      <w:r w:rsidRPr="00845E0B">
        <w:rPr>
          <w:rFonts w:ascii="Verdana" w:eastAsia="Times New Roman" w:hAnsi="Verdana" w:cs="Times New Roman"/>
          <w:b/>
          <w:bCs/>
          <w:color w:val="000000"/>
        </w:rPr>
        <w:t> </w:t>
      </w:r>
      <w:r w:rsidRPr="00845E0B">
        <w:rPr>
          <w:rFonts w:ascii="Verdana" w:eastAsia="Times New Roman" w:hAnsi="Verdana" w:cs="Times New Roman"/>
          <w:color w:val="000000"/>
        </w:rPr>
        <w:t>and</w:t>
      </w:r>
      <w:r w:rsidRPr="00845E0B">
        <w:rPr>
          <w:rFonts w:ascii="Verdana" w:eastAsia="Times New Roman" w:hAnsi="Verdana" w:cs="Times New Roman"/>
          <w:b/>
          <w:bCs/>
          <w:color w:val="000000"/>
        </w:rPr>
        <w:t> </w:t>
      </w:r>
      <w:proofErr w:type="spellStart"/>
      <w:r w:rsidRPr="00845E0B">
        <w:rPr>
          <w:rFonts w:ascii="Verdana" w:eastAsia="Times New Roman" w:hAnsi="Verdana" w:cs="Times New Roman"/>
          <w:b/>
          <w:bCs/>
          <w:color w:val="000000"/>
        </w:rPr>
        <w:t>Revlimid</w:t>
      </w:r>
      <w:proofErr w:type="spellEnd"/>
      <w:r w:rsidRPr="00845E0B">
        <w:rPr>
          <w:rFonts w:ascii="Verdana" w:eastAsia="Times New Roman" w:hAnsi="Verdana" w:cs="Times New Roman"/>
          <w:color w:val="000000"/>
        </w:rPr>
        <w:t>.</w:t>
      </w:r>
    </w:p>
    <w:p w14:paraId="1B1CAC4B"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b/>
          <w:bCs/>
          <w:color w:val="000000"/>
        </w:rPr>
        <w:t xml:space="preserve">Outcome of review on </w:t>
      </w:r>
      <w:proofErr w:type="spellStart"/>
      <w:r w:rsidRPr="00845E0B">
        <w:rPr>
          <w:rFonts w:ascii="Verdana" w:eastAsia="Times New Roman" w:hAnsi="Verdana" w:cs="Times New Roman"/>
          <w:b/>
          <w:bCs/>
          <w:color w:val="000000"/>
        </w:rPr>
        <w:t>Lemtrada</w:t>
      </w:r>
      <w:proofErr w:type="spellEnd"/>
    </w:p>
    <w:p w14:paraId="360A7C28"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color w:val="000000"/>
        </w:rPr>
        <w:t xml:space="preserve">The Committee recommended restricting the use of the multiple sclerosis medicine </w:t>
      </w:r>
      <w:proofErr w:type="spellStart"/>
      <w:r w:rsidRPr="00845E0B">
        <w:rPr>
          <w:rFonts w:ascii="Verdana" w:eastAsia="Times New Roman" w:hAnsi="Verdana" w:cs="Times New Roman"/>
          <w:color w:val="000000"/>
        </w:rPr>
        <w:t>Lemtrada</w:t>
      </w:r>
      <w:proofErr w:type="spellEnd"/>
      <w:r w:rsidRPr="00845E0B">
        <w:rPr>
          <w:rFonts w:ascii="Verdana" w:eastAsia="Times New Roman" w:hAnsi="Verdana" w:cs="Times New Roman"/>
          <w:color w:val="000000"/>
        </w:rPr>
        <w:t xml:space="preserve"> (alemtuzumab) due to reports of rare but serious side effects, including deaths. New measures to identify and manage the serious side effects are also recommended. The side effects include cardiovascular disorders (affecting the heart, circulation and bleeding as well as stroke) and immune-related disorders (caused by the body’s </w:t>
      </w:r>
      <w:proofErr w:type="spellStart"/>
      <w:r w:rsidRPr="00845E0B">
        <w:rPr>
          <w:rFonts w:ascii="Verdana" w:eastAsia="Times New Roman" w:hAnsi="Verdana" w:cs="Times New Roman"/>
          <w:color w:val="000000"/>
        </w:rPr>
        <w:t>defence</w:t>
      </w:r>
      <w:proofErr w:type="spellEnd"/>
      <w:r w:rsidRPr="00845E0B">
        <w:rPr>
          <w:rFonts w:ascii="Verdana" w:eastAsia="Times New Roman" w:hAnsi="Verdana" w:cs="Times New Roman"/>
          <w:color w:val="000000"/>
        </w:rPr>
        <w:t xml:space="preserve"> system not working properly).</w:t>
      </w:r>
    </w:p>
    <w:p w14:paraId="4B49EC3D"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color w:val="000000"/>
        </w:rPr>
        <w:t>For more information, please see the public health recommendation in the grid below.</w:t>
      </w:r>
    </w:p>
    <w:p w14:paraId="6DF8B49A"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b/>
          <w:bCs/>
          <w:color w:val="000000"/>
        </w:rPr>
        <w:t xml:space="preserve">Outcome of review on </w:t>
      </w:r>
      <w:proofErr w:type="spellStart"/>
      <w:r w:rsidRPr="00845E0B">
        <w:rPr>
          <w:rFonts w:ascii="Verdana" w:eastAsia="Times New Roman" w:hAnsi="Verdana" w:cs="Times New Roman"/>
          <w:b/>
          <w:bCs/>
          <w:color w:val="000000"/>
        </w:rPr>
        <w:t>Xeljanz</w:t>
      </w:r>
      <w:proofErr w:type="spellEnd"/>
    </w:p>
    <w:p w14:paraId="79356CFB"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w:t>
      </w:r>
      <w:hyperlink r:id="rId17"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xml:space="preserve"> concluded that </w:t>
      </w:r>
      <w:proofErr w:type="spellStart"/>
      <w:r w:rsidRPr="00845E0B">
        <w:rPr>
          <w:rFonts w:ascii="Verdana" w:eastAsia="Times New Roman" w:hAnsi="Verdana" w:cs="Times New Roman"/>
          <w:color w:val="000000"/>
        </w:rPr>
        <w:t>Xeljanz</w:t>
      </w:r>
      <w:proofErr w:type="spellEnd"/>
      <w:r w:rsidRPr="00845E0B">
        <w:rPr>
          <w:rFonts w:ascii="Verdana" w:eastAsia="Times New Roman" w:hAnsi="Verdana" w:cs="Times New Roman"/>
          <w:color w:val="000000"/>
        </w:rPr>
        <w:t xml:space="preserve"> (tofacitinib) could increase the risk of blood clots in the lungs and in deep veins in patients who are already at high risk. As a result, the Committee recommended that </w:t>
      </w:r>
      <w:proofErr w:type="spellStart"/>
      <w:r w:rsidRPr="00845E0B">
        <w:rPr>
          <w:rFonts w:ascii="Verdana" w:eastAsia="Times New Roman" w:hAnsi="Verdana" w:cs="Times New Roman"/>
          <w:color w:val="000000"/>
        </w:rPr>
        <w:t>Xeljanz</w:t>
      </w:r>
      <w:proofErr w:type="spellEnd"/>
      <w:r w:rsidRPr="00845E0B">
        <w:rPr>
          <w:rFonts w:ascii="Verdana" w:eastAsia="Times New Roman" w:hAnsi="Verdana" w:cs="Times New Roman"/>
          <w:color w:val="000000"/>
        </w:rPr>
        <w:t xml:space="preserve"> should be used with caution in all patients at high risk of blood clots. In addition, the maintenance doses of 10 mg twice daily should not be used in patients with ulcerative colitis who are at high risk of blood clots unless there is no suitable alternative treatment. Due to an increased risk of infections, </w:t>
      </w:r>
      <w:r w:rsidRPr="00845E0B">
        <w:rPr>
          <w:rFonts w:ascii="Verdana" w:eastAsia="Times New Roman" w:hAnsi="Verdana" w:cs="Times New Roman"/>
          <w:color w:val="000000"/>
        </w:rPr>
        <w:lastRenderedPageBreak/>
        <w:t xml:space="preserve">patients older than 65 years of age should be treated with </w:t>
      </w:r>
      <w:proofErr w:type="spellStart"/>
      <w:r w:rsidRPr="00845E0B">
        <w:rPr>
          <w:rFonts w:ascii="Verdana" w:eastAsia="Times New Roman" w:hAnsi="Verdana" w:cs="Times New Roman"/>
          <w:color w:val="000000"/>
        </w:rPr>
        <w:t>Xeljanz</w:t>
      </w:r>
      <w:proofErr w:type="spellEnd"/>
      <w:r w:rsidRPr="00845E0B">
        <w:rPr>
          <w:rFonts w:ascii="Verdana" w:eastAsia="Times New Roman" w:hAnsi="Verdana" w:cs="Times New Roman"/>
          <w:color w:val="000000"/>
        </w:rPr>
        <w:t xml:space="preserve"> only when there is no alternative treatment.</w:t>
      </w:r>
    </w:p>
    <w:p w14:paraId="11A2CEE6"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color w:val="000000"/>
        </w:rPr>
        <w:t>For more information, please see the public health recommendation in the grid below.</w:t>
      </w:r>
    </w:p>
    <w:p w14:paraId="2DE80ED2"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b/>
          <w:bCs/>
          <w:color w:val="000000"/>
        </w:rPr>
        <w:t>Withdrawals of applications</w:t>
      </w:r>
    </w:p>
    <w:p w14:paraId="3A8D49C8"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Applications for initial </w:t>
      </w:r>
      <w:hyperlink r:id="rId18" w:tgtFrame="_blank" w:tooltip="The approval to market a medicine in one, several or all European Union Member States." w:history="1">
        <w:r w:rsidRPr="00845E0B">
          <w:rPr>
            <w:rFonts w:ascii="Verdana" w:eastAsia="Times New Roman" w:hAnsi="Verdana" w:cs="Times New Roman"/>
            <w:color w:val="000000"/>
            <w:u w:val="single"/>
          </w:rPr>
          <w:t xml:space="preserve">marketing </w:t>
        </w:r>
        <w:proofErr w:type="spellStart"/>
        <w:r w:rsidRPr="00845E0B">
          <w:rPr>
            <w:rFonts w:ascii="Verdana" w:eastAsia="Times New Roman" w:hAnsi="Verdana" w:cs="Times New Roman"/>
            <w:color w:val="000000"/>
            <w:u w:val="single"/>
          </w:rPr>
          <w:t>authorisations</w:t>
        </w:r>
        <w:proofErr w:type="spellEnd"/>
      </w:hyperlink>
      <w:r w:rsidRPr="00845E0B">
        <w:rPr>
          <w:rFonts w:ascii="Verdana" w:eastAsia="Times New Roman" w:hAnsi="Verdana" w:cs="Times New Roman"/>
          <w:color w:val="000000"/>
        </w:rPr>
        <w:t> for </w:t>
      </w:r>
      <w:proofErr w:type="spellStart"/>
      <w:r w:rsidRPr="00845E0B">
        <w:rPr>
          <w:rFonts w:ascii="Verdana" w:eastAsia="Times New Roman" w:hAnsi="Verdana" w:cs="Times New Roman"/>
          <w:b/>
          <w:bCs/>
          <w:color w:val="000000"/>
        </w:rPr>
        <w:t>Linhaliq</w:t>
      </w:r>
      <w:proofErr w:type="spellEnd"/>
      <w:r w:rsidRPr="00845E0B">
        <w:rPr>
          <w:rFonts w:ascii="Verdana" w:eastAsia="Times New Roman" w:hAnsi="Verdana" w:cs="Times New Roman"/>
          <w:b/>
          <w:bCs/>
          <w:color w:val="000000"/>
        </w:rPr>
        <w:t> </w:t>
      </w:r>
      <w:r w:rsidRPr="00845E0B">
        <w:rPr>
          <w:rFonts w:ascii="Verdana" w:eastAsia="Times New Roman" w:hAnsi="Verdana" w:cs="Times New Roman"/>
          <w:color w:val="000000"/>
        </w:rPr>
        <w:t>(ciprofloxacin) and </w:t>
      </w:r>
      <w:proofErr w:type="spellStart"/>
      <w:r w:rsidRPr="00845E0B">
        <w:rPr>
          <w:rFonts w:ascii="Verdana" w:eastAsia="Times New Roman" w:hAnsi="Verdana" w:cs="Times New Roman"/>
          <w:b/>
          <w:bCs/>
          <w:color w:val="000000"/>
        </w:rPr>
        <w:t>Luxceptar</w:t>
      </w:r>
      <w:proofErr w:type="spellEnd"/>
      <w:r w:rsidRPr="00845E0B">
        <w:rPr>
          <w:rFonts w:ascii="Verdana" w:eastAsia="Times New Roman" w:hAnsi="Verdana" w:cs="Times New Roman"/>
          <w:color w:val="000000"/>
        </w:rPr>
        <w:t xml:space="preserve"> (viable T-cells) have been withdrawn. </w:t>
      </w:r>
      <w:proofErr w:type="spellStart"/>
      <w:r w:rsidRPr="00845E0B">
        <w:rPr>
          <w:rFonts w:ascii="Verdana" w:eastAsia="Times New Roman" w:hAnsi="Verdana" w:cs="Times New Roman"/>
          <w:color w:val="000000"/>
        </w:rPr>
        <w:t>Linhaliq</w:t>
      </w:r>
      <w:proofErr w:type="spellEnd"/>
      <w:r w:rsidRPr="00845E0B">
        <w:rPr>
          <w:rFonts w:ascii="Verdana" w:eastAsia="Times New Roman" w:hAnsi="Verdana" w:cs="Times New Roman"/>
          <w:color w:val="000000"/>
        </w:rPr>
        <w:t xml:space="preserve"> was intended for the treatment and prevention of flare-ups of non-cystic fibrosis bronchiectasis in patients with long-term lung infection caused by </w:t>
      </w:r>
      <w:r w:rsidRPr="00845E0B">
        <w:rPr>
          <w:rFonts w:ascii="Verdana" w:eastAsia="Times New Roman" w:hAnsi="Verdana" w:cs="Times New Roman"/>
          <w:i/>
          <w:iCs/>
          <w:color w:val="000000"/>
        </w:rPr>
        <w:t>Pseudomonas aeruginosa </w:t>
      </w:r>
      <w:r w:rsidRPr="00845E0B">
        <w:rPr>
          <w:rFonts w:ascii="Verdana" w:eastAsia="Times New Roman" w:hAnsi="Verdana" w:cs="Times New Roman"/>
          <w:color w:val="000000"/>
        </w:rPr>
        <w:t xml:space="preserve">bacteria. </w:t>
      </w:r>
      <w:proofErr w:type="spellStart"/>
      <w:r w:rsidRPr="00845E0B">
        <w:rPr>
          <w:rFonts w:ascii="Verdana" w:eastAsia="Times New Roman" w:hAnsi="Verdana" w:cs="Times New Roman"/>
          <w:color w:val="000000"/>
        </w:rPr>
        <w:t>Luxceptar</w:t>
      </w:r>
      <w:proofErr w:type="spellEnd"/>
      <w:r w:rsidRPr="00845E0B">
        <w:rPr>
          <w:rFonts w:ascii="Verdana" w:eastAsia="Times New Roman" w:hAnsi="Verdana" w:cs="Times New Roman"/>
          <w:color w:val="000000"/>
        </w:rPr>
        <w:t xml:space="preserve"> was intended for the treatment of patients with blood cancers who are receiving a type of blood stem cell transplant.</w:t>
      </w:r>
    </w:p>
    <w:p w14:paraId="59546009"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color w:val="000000"/>
        </w:rPr>
        <w:t>The application to extend the use of </w:t>
      </w:r>
      <w:proofErr w:type="spellStart"/>
      <w:r w:rsidRPr="00845E0B">
        <w:rPr>
          <w:rFonts w:ascii="Verdana" w:eastAsia="Times New Roman" w:hAnsi="Verdana" w:cs="Times New Roman"/>
          <w:b/>
          <w:bCs/>
          <w:color w:val="000000"/>
        </w:rPr>
        <w:t>Opsumit</w:t>
      </w:r>
      <w:proofErr w:type="spellEnd"/>
      <w:r w:rsidRPr="00845E0B">
        <w:rPr>
          <w:rFonts w:ascii="Verdana" w:eastAsia="Times New Roman" w:hAnsi="Verdana" w:cs="Times New Roman"/>
          <w:b/>
          <w:bCs/>
          <w:color w:val="000000"/>
        </w:rPr>
        <w:t> </w:t>
      </w:r>
      <w:r w:rsidRPr="00845E0B">
        <w:rPr>
          <w:rFonts w:ascii="Verdana" w:eastAsia="Times New Roman" w:hAnsi="Verdana" w:cs="Times New Roman"/>
          <w:color w:val="000000"/>
        </w:rPr>
        <w:t>(</w:t>
      </w:r>
      <w:proofErr w:type="spellStart"/>
      <w:r w:rsidRPr="00845E0B">
        <w:rPr>
          <w:rFonts w:ascii="Verdana" w:eastAsia="Times New Roman" w:hAnsi="Verdana" w:cs="Times New Roman"/>
          <w:color w:val="000000"/>
        </w:rPr>
        <w:t>macitentan</w:t>
      </w:r>
      <w:proofErr w:type="spellEnd"/>
      <w:r w:rsidRPr="00845E0B">
        <w:rPr>
          <w:rFonts w:ascii="Verdana" w:eastAsia="Times New Roman" w:hAnsi="Verdana" w:cs="Times New Roman"/>
          <w:color w:val="000000"/>
        </w:rPr>
        <w:t>) to treat chronic thromboembolic pulmonary hypertension, a condition that causes high blood pressure in the lungs, was also withdrawn.</w:t>
      </w:r>
    </w:p>
    <w:p w14:paraId="14F52612"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color w:val="000000"/>
        </w:rPr>
        <w:t>Question-and-answer documents on these withdrawals are available in the grid below.</w:t>
      </w:r>
    </w:p>
    <w:p w14:paraId="1BC22A20" w14:textId="77777777" w:rsidR="00845E0B" w:rsidRPr="00845E0B" w:rsidRDefault="00845E0B" w:rsidP="00845E0B">
      <w:pPr>
        <w:spacing w:before="100" w:beforeAutospacing="1" w:after="100" w:afterAutospacing="1"/>
        <w:rPr>
          <w:rFonts w:ascii="Verdana" w:eastAsia="Times New Roman" w:hAnsi="Verdana" w:cs="Times New Roman"/>
          <w:color w:val="000000"/>
        </w:rPr>
      </w:pPr>
      <w:r w:rsidRPr="00845E0B">
        <w:rPr>
          <w:rFonts w:ascii="Verdana" w:eastAsia="Times New Roman" w:hAnsi="Verdana" w:cs="Times New Roman"/>
          <w:b/>
          <w:bCs/>
          <w:color w:val="000000"/>
        </w:rPr>
        <w:t>Agenda and minutes</w:t>
      </w:r>
    </w:p>
    <w:p w14:paraId="02D6E033"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The agenda of the November meeting is published on EMA's website. Minutes of the October 2019 </w:t>
      </w:r>
      <w:proofErr w:type="spellStart"/>
      <w:r w:rsidR="0088796C">
        <w:rPr>
          <w:rFonts w:ascii="Verdana" w:eastAsia="Times New Roman" w:hAnsi="Verdana" w:cs="Times New Roman"/>
          <w:color w:val="000000"/>
          <w:u w:val="single"/>
        </w:rPr>
        <w:fldChar w:fldCharType="begin"/>
      </w:r>
      <w:r w:rsidR="0088796C">
        <w:rPr>
          <w:rFonts w:ascii="Verdana" w:eastAsia="Times New Roman" w:hAnsi="Verdana" w:cs="Times New Roman"/>
          <w:color w:val="000000"/>
          <w:u w:val="single"/>
        </w:rPr>
        <w:instrText xml:space="preserve"> HYPERLINK "https://www.em</w:instrText>
      </w:r>
      <w:r w:rsidR="0088796C">
        <w:rPr>
          <w:rFonts w:ascii="Verdana" w:eastAsia="Times New Roman" w:hAnsi="Verdana" w:cs="Times New Roman"/>
          <w:color w:val="000000"/>
          <w:u w:val="single"/>
        </w:rPr>
        <w:instrText>a.europa.eu/en/glossary/chmp" \t "_blank" \o "Committee for Medicinal Products for Human Use -  the committee that is responsible for preparing the Agency's opinions on questions concerning human medicines. </w:instrText>
      </w:r>
      <w:r w:rsidR="0088796C">
        <w:rPr>
          <w:rFonts w:ascii="Verdana" w:eastAsia="Times New Roman" w:hAnsi="Verdana" w:cs="Times New Roman"/>
          <w:color w:val="000000"/>
          <w:u w:val="single"/>
        </w:rPr>
        <w:cr/>
        <w:instrText xml:space="preserve"> </w:instrText>
      </w:r>
      <w:r w:rsidR="0088796C">
        <w:rPr>
          <w:rFonts w:ascii="Verdana" w:eastAsia="Times New Roman" w:hAnsi="Verdana" w:cs="Times New Roman"/>
          <w:color w:val="000000"/>
          <w:u w:val="single"/>
        </w:rPr>
        <w:cr/>
        <w:instrText xml:space="preserve"> More information can be found under 'Committe</w:instrText>
      </w:r>
      <w:r w:rsidR="0088796C">
        <w:rPr>
          <w:rFonts w:ascii="Verdana" w:eastAsia="Times New Roman" w:hAnsi="Verdana" w:cs="Times New Roman"/>
          <w:color w:val="000000"/>
          <w:u w:val="single"/>
        </w:rPr>
        <w:instrText xml:space="preserve">e for Medicinal Products for Human Use (CHMP)'." </w:instrText>
      </w:r>
      <w:r w:rsidR="0088796C">
        <w:rPr>
          <w:rFonts w:ascii="Verdana" w:eastAsia="Times New Roman" w:hAnsi="Verdana" w:cs="Times New Roman"/>
          <w:color w:val="000000"/>
          <w:u w:val="single"/>
        </w:rPr>
        <w:fldChar w:fldCharType="separate"/>
      </w:r>
      <w:r w:rsidRPr="00845E0B">
        <w:rPr>
          <w:rFonts w:ascii="Verdana" w:eastAsia="Times New Roman" w:hAnsi="Verdana" w:cs="Times New Roman"/>
          <w:color w:val="000000"/>
          <w:u w:val="single"/>
        </w:rPr>
        <w:t>CHMP</w:t>
      </w:r>
      <w:r w:rsidR="0088796C">
        <w:rPr>
          <w:rFonts w:ascii="Verdana" w:eastAsia="Times New Roman" w:hAnsi="Verdana" w:cs="Times New Roman"/>
          <w:color w:val="000000"/>
          <w:u w:val="single"/>
        </w:rPr>
        <w:fldChar w:fldCharType="end"/>
      </w:r>
      <w:r w:rsidRPr="00845E0B">
        <w:rPr>
          <w:rFonts w:ascii="Verdana" w:eastAsia="Times New Roman" w:hAnsi="Verdana" w:cs="Times New Roman"/>
          <w:color w:val="000000"/>
        </w:rPr>
        <w:t>meeting</w:t>
      </w:r>
      <w:proofErr w:type="spellEnd"/>
      <w:r w:rsidRPr="00845E0B">
        <w:rPr>
          <w:rFonts w:ascii="Verdana" w:eastAsia="Times New Roman" w:hAnsi="Verdana" w:cs="Times New Roman"/>
          <w:color w:val="000000"/>
        </w:rPr>
        <w:t xml:space="preserve"> will be published in the coming weeks.</w:t>
      </w:r>
    </w:p>
    <w:p w14:paraId="0863BE73" w14:textId="77777777" w:rsidR="00845E0B" w:rsidRPr="00845E0B" w:rsidRDefault="0088796C" w:rsidP="00845E0B">
      <w:pPr>
        <w:spacing w:beforeAutospacing="1" w:afterAutospacing="1"/>
        <w:rPr>
          <w:rFonts w:ascii="Verdana" w:eastAsia="Times New Roman" w:hAnsi="Verdana" w:cs="Times New Roman"/>
          <w:color w:val="000000"/>
        </w:rPr>
      </w:pPr>
      <w:hyperlink r:id="rId1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00845E0B" w:rsidRPr="00845E0B">
          <w:rPr>
            <w:rFonts w:ascii="Verdana" w:eastAsia="Times New Roman" w:hAnsi="Verdana" w:cs="Times New Roman"/>
            <w:b/>
            <w:bCs/>
            <w:color w:val="000000"/>
            <w:u w:val="single"/>
          </w:rPr>
          <w:t>CHMP</w:t>
        </w:r>
      </w:hyperlink>
      <w:r w:rsidR="00845E0B" w:rsidRPr="00845E0B">
        <w:rPr>
          <w:rFonts w:ascii="Verdana" w:eastAsia="Times New Roman" w:hAnsi="Verdana" w:cs="Times New Roman"/>
          <w:b/>
          <w:bCs/>
          <w:color w:val="000000"/>
        </w:rPr>
        <w:t> statistics</w:t>
      </w:r>
    </w:p>
    <w:p w14:paraId="758E04EA"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Key figures from the November 2019 </w:t>
      </w:r>
      <w:hyperlink r:id="rId2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845E0B">
          <w:rPr>
            <w:rFonts w:ascii="Verdana" w:eastAsia="Times New Roman" w:hAnsi="Verdana" w:cs="Times New Roman"/>
            <w:color w:val="000000"/>
            <w:u w:val="single"/>
          </w:rPr>
          <w:t>CHMP</w:t>
        </w:r>
      </w:hyperlink>
      <w:r w:rsidRPr="00845E0B">
        <w:rPr>
          <w:rFonts w:ascii="Verdana" w:eastAsia="Times New Roman" w:hAnsi="Verdana" w:cs="Times New Roman"/>
          <w:color w:val="000000"/>
        </w:rPr>
        <w:t> meeting are represented in the graphic below.</w:t>
      </w:r>
    </w:p>
    <w:p w14:paraId="645F6C3F" w14:textId="77777777" w:rsidR="00845E0B" w:rsidRPr="00845E0B" w:rsidRDefault="0088796C" w:rsidP="00845E0B">
      <w:pPr>
        <w:rPr>
          <w:rFonts w:ascii="Verdana" w:eastAsia="Times New Roman" w:hAnsi="Verdana" w:cs="Times New Roman"/>
          <w:color w:val="000000"/>
        </w:rPr>
      </w:pPr>
      <w:r>
        <w:rPr>
          <w:rFonts w:ascii="Verdana" w:eastAsia="Times New Roman" w:hAnsi="Verdana" w:cs="Times New Roman"/>
          <w:noProof/>
          <w:color w:val="000000"/>
        </w:rPr>
        <w:pict w14:anchorId="660A04FA">
          <v:rect id="_x0000_i1025" alt="" style="width:468pt;height:.05pt;mso-width-percent:0;mso-height-percent:0;mso-width-percent:0;mso-height-percent:0" o:hralign="center" o:hrstd="t" o:hr="t" fillcolor="#a0a0a0" stroked="f"/>
        </w:pict>
      </w:r>
    </w:p>
    <w:p w14:paraId="3BC8A97E" w14:textId="77777777" w:rsidR="00845E0B" w:rsidRPr="00845E0B" w:rsidRDefault="00845E0B" w:rsidP="00845E0B">
      <w:pPr>
        <w:spacing w:beforeAutospacing="1" w:afterAutospacing="1"/>
        <w:rPr>
          <w:rFonts w:ascii="Verdana" w:eastAsia="Times New Roman" w:hAnsi="Verdana" w:cs="Times New Roman"/>
          <w:color w:val="000000"/>
        </w:rPr>
      </w:pPr>
      <w:r w:rsidRPr="00845E0B">
        <w:rPr>
          <w:rFonts w:ascii="Verdana" w:eastAsia="Times New Roman" w:hAnsi="Verdana" w:cs="Times New Roman"/>
          <w:color w:val="000000"/>
        </w:rPr>
        <w:t>* This product was designated as an </w:t>
      </w:r>
      <w:hyperlink r:id="rId21" w:tgtFrame="_blank" w:tooltip="A medicine for the diagnosis, prevention or treatment of a life-threatening or chronically debilitating condition that is rare (affecting not more than five in 10,000 people in the European Union) or where the medicine is unlikely to generate sufficient profit to justify research and development costs. &#13; &#13; More information can be found under 'Orphan designation -  Overview'." w:history="1">
        <w:r w:rsidRPr="00845E0B">
          <w:rPr>
            <w:rFonts w:ascii="Verdana" w:eastAsia="Times New Roman" w:hAnsi="Verdana" w:cs="Times New Roman"/>
            <w:color w:val="000000"/>
            <w:u w:val="single"/>
          </w:rPr>
          <w:t>orphan medicine</w:t>
        </w:r>
      </w:hyperlink>
      <w:r w:rsidRPr="00845E0B">
        <w:rPr>
          <w:rFonts w:ascii="Verdana" w:eastAsia="Times New Roman" w:hAnsi="Verdana" w:cs="Times New Roman"/>
          <w:color w:val="000000"/>
        </w:rPr>
        <w:t> during its development. </w:t>
      </w:r>
      <w:hyperlink r:id="rId22" w:tgtFrame="_blank" w:tooltip="A status assigned to a medicine intended for use against a rare condition. The medicine must fulfil certain criteria for designation as an orphan medicine so that it can benefit from incentives such as protection from competition once on the market. &#13; &#13; More information can be found under 'Orphan designation -  Overview'." w:history="1">
        <w:r w:rsidRPr="00845E0B">
          <w:rPr>
            <w:rFonts w:ascii="Verdana" w:eastAsia="Times New Roman" w:hAnsi="Verdana" w:cs="Times New Roman"/>
            <w:color w:val="000000"/>
            <w:u w:val="single"/>
          </w:rPr>
          <w:t>Orphan designations</w:t>
        </w:r>
      </w:hyperlink>
      <w:r w:rsidRPr="00845E0B">
        <w:rPr>
          <w:rFonts w:ascii="Verdana" w:eastAsia="Times New Roman" w:hAnsi="Verdana" w:cs="Times New Roman"/>
          <w:color w:val="000000"/>
        </w:rPr>
        <w:t> are reviewed by EMA's </w:t>
      </w:r>
      <w:hyperlink r:id="rId23" w:tgtFrame="_blank" w:tooltip="The committee that is responsible for reviewing applications for orphan designation for medicines that are intended for the diagnosis, prevention or treatment of rare diseases. Abbreviated as COMP. &#13; &#13; More information can be found under 'Committee for Orphan Medicinal Products (COMP)'." w:history="1">
        <w:r w:rsidRPr="00845E0B">
          <w:rPr>
            <w:rFonts w:ascii="Verdana" w:eastAsia="Times New Roman" w:hAnsi="Verdana" w:cs="Times New Roman"/>
            <w:color w:val="000000"/>
            <w:u w:val="single"/>
          </w:rPr>
          <w:t>Committee for Orphan Medicinal Products</w:t>
        </w:r>
      </w:hyperlink>
      <w:r w:rsidRPr="00845E0B">
        <w:rPr>
          <w:rFonts w:ascii="Verdana" w:eastAsia="Times New Roman" w:hAnsi="Verdana" w:cs="Times New Roman"/>
          <w:color w:val="000000"/>
        </w:rPr>
        <w:t> (</w:t>
      </w:r>
      <w:hyperlink r:id="rId24" w:tgtFrame="_blank" w:tooltip="Committee for Orphan Medicinal Products -  the committee that is responsible for reviewing applications for orphan designation for medicines that are intended for the diagnosis, prevention or treatment of rare diseases. &#13; &#13; More information can be found under 'Committee for Orphan Medicinal Products (COMP)'." w:history="1">
        <w:r w:rsidRPr="00845E0B">
          <w:rPr>
            <w:rFonts w:ascii="Verdana" w:eastAsia="Times New Roman" w:hAnsi="Verdana" w:cs="Times New Roman"/>
            <w:color w:val="000000"/>
            <w:u w:val="single"/>
          </w:rPr>
          <w:t>COMP</w:t>
        </w:r>
      </w:hyperlink>
      <w:r w:rsidRPr="00845E0B">
        <w:rPr>
          <w:rFonts w:ascii="Verdana" w:eastAsia="Times New Roman" w:hAnsi="Verdana" w:cs="Times New Roman"/>
          <w:color w:val="000000"/>
        </w:rPr>
        <w:t>) at the time of approval to determine whether the information available to date allows maintaining the medicine's orphan status and granting the medicine ten years of </w:t>
      </w:r>
      <w:hyperlink r:id="rId25" w:tgtFrame="_blank" w:tooltip="The 10-year period after the marketing authorisation of an orphan medicine when similar medicines for the same indication cannot be placed on the market. &#13; &#13; More information can be found under 'Marketing authorisation and market exclusivity'." w:history="1">
        <w:r w:rsidRPr="00845E0B">
          <w:rPr>
            <w:rFonts w:ascii="Verdana" w:eastAsia="Times New Roman" w:hAnsi="Verdana" w:cs="Times New Roman"/>
            <w:color w:val="000000"/>
            <w:u w:val="single"/>
          </w:rPr>
          <w:t>market exclusivity</w:t>
        </w:r>
      </w:hyperlink>
      <w:r w:rsidRPr="00845E0B">
        <w:rPr>
          <w:rFonts w:ascii="Verdana" w:eastAsia="Times New Roman" w:hAnsi="Verdana" w:cs="Times New Roman"/>
          <w:color w:val="000000"/>
        </w:rPr>
        <w:t>.</w:t>
      </w:r>
    </w:p>
    <w:p w14:paraId="7202FC3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25"/>
    <w:rsid w:val="003F16BB"/>
    <w:rsid w:val="00453EED"/>
    <w:rsid w:val="00480F25"/>
    <w:rsid w:val="00571EDD"/>
    <w:rsid w:val="00845E0B"/>
    <w:rsid w:val="00866356"/>
    <w:rsid w:val="0088796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E0A"/>
  <w14:defaultImageDpi w14:val="32767"/>
  <w15:chartTrackingRefBased/>
  <w15:docId w15:val="{E65E7454-01FA-3744-BC86-85E1F7A4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45E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45E0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0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45E0B"/>
    <w:rPr>
      <w:rFonts w:ascii="Times New Roman" w:eastAsia="Times New Roman" w:hAnsi="Times New Roman" w:cs="Times New Roman"/>
      <w:b/>
      <w:bCs/>
    </w:rPr>
  </w:style>
  <w:style w:type="character" w:customStyle="1" w:styleId="apple-converted-space">
    <w:name w:val="apple-converted-space"/>
    <w:basedOn w:val="DefaultParagraphFont"/>
    <w:rsid w:val="00845E0B"/>
  </w:style>
  <w:style w:type="character" w:customStyle="1" w:styleId="date-display-single">
    <w:name w:val="date-display-single"/>
    <w:basedOn w:val="DefaultParagraphFont"/>
    <w:rsid w:val="00845E0B"/>
  </w:style>
  <w:style w:type="paragraph" w:styleId="NormalWeb">
    <w:name w:val="Normal (Web)"/>
    <w:basedOn w:val="Normal"/>
    <w:uiPriority w:val="99"/>
    <w:semiHidden/>
    <w:unhideWhenUsed/>
    <w:rsid w:val="00845E0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45E0B"/>
    <w:rPr>
      <w:color w:val="0000FF"/>
      <w:u w:val="single"/>
    </w:rPr>
  </w:style>
  <w:style w:type="character" w:styleId="Strong">
    <w:name w:val="Strong"/>
    <w:basedOn w:val="DefaultParagraphFont"/>
    <w:uiPriority w:val="22"/>
    <w:qFormat/>
    <w:rsid w:val="00845E0B"/>
    <w:rPr>
      <w:b/>
      <w:bCs/>
    </w:rPr>
  </w:style>
  <w:style w:type="character" w:styleId="Emphasis">
    <w:name w:val="Emphasis"/>
    <w:basedOn w:val="DefaultParagraphFont"/>
    <w:uiPriority w:val="20"/>
    <w:qFormat/>
    <w:rsid w:val="00845E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28151">
      <w:bodyDiv w:val="1"/>
      <w:marLeft w:val="0"/>
      <w:marRight w:val="0"/>
      <w:marTop w:val="0"/>
      <w:marBottom w:val="0"/>
      <w:divBdr>
        <w:top w:val="none" w:sz="0" w:space="0" w:color="auto"/>
        <w:left w:val="none" w:sz="0" w:space="0" w:color="auto"/>
        <w:bottom w:val="none" w:sz="0" w:space="0" w:color="auto"/>
        <w:right w:val="none" w:sz="0" w:space="0" w:color="auto"/>
      </w:divBdr>
      <w:divsChild>
        <w:div w:id="1967932552">
          <w:marLeft w:val="0"/>
          <w:marRight w:val="0"/>
          <w:marTop w:val="0"/>
          <w:marBottom w:val="0"/>
          <w:divBdr>
            <w:top w:val="none" w:sz="0" w:space="0" w:color="auto"/>
            <w:left w:val="none" w:sz="0" w:space="0" w:color="auto"/>
            <w:bottom w:val="none" w:sz="0" w:space="0" w:color="auto"/>
            <w:right w:val="none" w:sz="0" w:space="0" w:color="auto"/>
          </w:divBdr>
          <w:divsChild>
            <w:div w:id="581178159">
              <w:marLeft w:val="0"/>
              <w:marRight w:val="0"/>
              <w:marTop w:val="0"/>
              <w:marBottom w:val="0"/>
              <w:divBdr>
                <w:top w:val="none" w:sz="0" w:space="0" w:color="auto"/>
                <w:left w:val="none" w:sz="0" w:space="0" w:color="auto"/>
                <w:bottom w:val="none" w:sz="0" w:space="0" w:color="auto"/>
                <w:right w:val="none" w:sz="0" w:space="0" w:color="auto"/>
              </w:divBdr>
            </w:div>
          </w:divsChild>
        </w:div>
        <w:div w:id="1109398104">
          <w:marLeft w:val="0"/>
          <w:marRight w:val="0"/>
          <w:marTop w:val="0"/>
          <w:marBottom w:val="0"/>
          <w:divBdr>
            <w:top w:val="none" w:sz="0" w:space="0" w:color="auto"/>
            <w:left w:val="none" w:sz="0" w:space="0" w:color="auto"/>
            <w:bottom w:val="none" w:sz="0" w:space="0" w:color="auto"/>
            <w:right w:val="none" w:sz="0" w:space="0" w:color="auto"/>
          </w:divBdr>
        </w:div>
        <w:div w:id="1166164374">
          <w:marLeft w:val="0"/>
          <w:marRight w:val="0"/>
          <w:marTop w:val="0"/>
          <w:marBottom w:val="0"/>
          <w:divBdr>
            <w:top w:val="none" w:sz="0" w:space="0" w:color="auto"/>
            <w:left w:val="none" w:sz="0" w:space="0" w:color="auto"/>
            <w:bottom w:val="none" w:sz="0" w:space="0" w:color="auto"/>
            <w:right w:val="none" w:sz="0" w:space="0" w:color="auto"/>
          </w:divBdr>
          <w:divsChild>
            <w:div w:id="75908723">
              <w:marLeft w:val="0"/>
              <w:marRight w:val="0"/>
              <w:marTop w:val="0"/>
              <w:marBottom w:val="0"/>
              <w:divBdr>
                <w:top w:val="none" w:sz="0" w:space="0" w:color="auto"/>
                <w:left w:val="none" w:sz="0" w:space="0" w:color="auto"/>
                <w:bottom w:val="none" w:sz="0" w:space="0" w:color="auto"/>
                <w:right w:val="none" w:sz="0" w:space="0" w:color="auto"/>
              </w:divBdr>
              <w:divsChild>
                <w:div w:id="875773669">
                  <w:marLeft w:val="0"/>
                  <w:marRight w:val="0"/>
                  <w:marTop w:val="0"/>
                  <w:marBottom w:val="0"/>
                  <w:divBdr>
                    <w:top w:val="none" w:sz="0" w:space="0" w:color="auto"/>
                    <w:left w:val="none" w:sz="0" w:space="0" w:color="auto"/>
                    <w:bottom w:val="none" w:sz="0" w:space="0" w:color="auto"/>
                    <w:right w:val="none" w:sz="0" w:space="0" w:color="auto"/>
                  </w:divBdr>
                  <w:divsChild>
                    <w:div w:id="554783754">
                      <w:marLeft w:val="0"/>
                      <w:marRight w:val="0"/>
                      <w:marTop w:val="0"/>
                      <w:marBottom w:val="0"/>
                      <w:divBdr>
                        <w:top w:val="none" w:sz="0" w:space="0" w:color="auto"/>
                        <w:left w:val="none" w:sz="0" w:space="0" w:color="auto"/>
                        <w:bottom w:val="none" w:sz="0" w:space="0" w:color="auto"/>
                        <w:right w:val="none" w:sz="0" w:space="0" w:color="auto"/>
                      </w:divBdr>
                      <w:divsChild>
                        <w:div w:id="587271863">
                          <w:marLeft w:val="0"/>
                          <w:marRight w:val="0"/>
                          <w:marTop w:val="0"/>
                          <w:marBottom w:val="0"/>
                          <w:divBdr>
                            <w:top w:val="none" w:sz="0" w:space="0" w:color="auto"/>
                            <w:left w:val="none" w:sz="0" w:space="0" w:color="auto"/>
                            <w:bottom w:val="none" w:sz="0" w:space="0" w:color="auto"/>
                            <w:right w:val="none" w:sz="0" w:space="0" w:color="auto"/>
                          </w:divBdr>
                          <w:divsChild>
                            <w:div w:id="373117535">
                              <w:marLeft w:val="0"/>
                              <w:marRight w:val="0"/>
                              <w:marTop w:val="0"/>
                              <w:marBottom w:val="0"/>
                              <w:divBdr>
                                <w:top w:val="none" w:sz="0" w:space="0" w:color="auto"/>
                                <w:left w:val="none" w:sz="0" w:space="0" w:color="auto"/>
                                <w:bottom w:val="none" w:sz="0" w:space="0" w:color="auto"/>
                                <w:right w:val="none" w:sz="0" w:space="0" w:color="auto"/>
                              </w:divBdr>
                              <w:divsChild>
                                <w:div w:id="715010829">
                                  <w:marLeft w:val="0"/>
                                  <w:marRight w:val="0"/>
                                  <w:marTop w:val="0"/>
                                  <w:marBottom w:val="0"/>
                                  <w:divBdr>
                                    <w:top w:val="none" w:sz="0" w:space="0" w:color="auto"/>
                                    <w:left w:val="none" w:sz="0" w:space="0" w:color="auto"/>
                                    <w:bottom w:val="none" w:sz="0" w:space="0" w:color="auto"/>
                                    <w:right w:val="none" w:sz="0" w:space="0" w:color="auto"/>
                                  </w:divBdr>
                                  <w:divsChild>
                                    <w:div w:id="12342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hmp" TargetMode="External"/><Relationship Id="rId13" Type="http://schemas.openxmlformats.org/officeDocument/2006/relationships/hyperlink" Target="https://www.ema.europa.eu/en/glossary/re-examination" TargetMode="External"/><Relationship Id="rId18" Type="http://schemas.openxmlformats.org/officeDocument/2006/relationships/hyperlink" Target="https://www.ema.europa.eu/en/glossary/marketing-authorisation"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ema.europa.eu/en/glossary/orphan-medicine" TargetMode="External"/><Relationship Id="rId7" Type="http://schemas.openxmlformats.org/officeDocument/2006/relationships/hyperlink" Target="https://www.ema.europa.eu/en/glossary/chmp" TargetMode="External"/><Relationship Id="rId12" Type="http://schemas.openxmlformats.org/officeDocument/2006/relationships/hyperlink" Target="https://www.ema.europa.eu/en/glossary/re-examination" TargetMode="External"/><Relationship Id="rId17" Type="http://schemas.openxmlformats.org/officeDocument/2006/relationships/hyperlink" Target="https://www.ema.europa.eu/en/glossary/chmp" TargetMode="External"/><Relationship Id="rId25" Type="http://schemas.openxmlformats.org/officeDocument/2006/relationships/hyperlink" Target="https://www.ema.europa.eu/en/glossary/market-exclusivity" TargetMode="External"/><Relationship Id="rId2" Type="http://schemas.openxmlformats.org/officeDocument/2006/relationships/settings" Target="settings.xml"/><Relationship Id="rId16" Type="http://schemas.openxmlformats.org/officeDocument/2006/relationships/hyperlink" Target="https://www.ema.europa.eu/en/glossary/indication" TargetMode="External"/><Relationship Id="rId20" Type="http://schemas.openxmlformats.org/officeDocument/2006/relationships/hyperlink" Target="https://www.ema.europa.eu/en/glossary/chmp" TargetMode="External"/><Relationship Id="rId1" Type="http://schemas.openxmlformats.org/officeDocument/2006/relationships/styles" Target="styles.xml"/><Relationship Id="rId6" Type="http://schemas.openxmlformats.org/officeDocument/2006/relationships/hyperlink" Target="https://www.ema.europa.eu/en/glossary/conditional-marketing-authorisation" TargetMode="External"/><Relationship Id="rId11" Type="http://schemas.openxmlformats.org/officeDocument/2006/relationships/hyperlink" Target="https://www.ema.europa.eu/en/glossary/generic-medicine" TargetMode="External"/><Relationship Id="rId24" Type="http://schemas.openxmlformats.org/officeDocument/2006/relationships/hyperlink" Target="https://www.ema.europa.eu/en/glossary/comp" TargetMode="External"/><Relationship Id="rId5" Type="http://schemas.openxmlformats.org/officeDocument/2006/relationships/hyperlink" Target="https://www.ema.europa.eu/en/glossary/marketing-authorisation" TargetMode="External"/><Relationship Id="rId15" Type="http://schemas.openxmlformats.org/officeDocument/2006/relationships/hyperlink" Target="https://www.ema.europa.eu/en/glossary/indication" TargetMode="External"/><Relationship Id="rId23" Type="http://schemas.openxmlformats.org/officeDocument/2006/relationships/hyperlink" Target="https://www.ema.europa.eu/en/glossary/committee-orphan-medicinal-products" TargetMode="External"/><Relationship Id="rId10" Type="http://schemas.openxmlformats.org/officeDocument/2006/relationships/hyperlink" Target="https://www.ema.europa.eu/en/glossary/marketing-authorisation" TargetMode="External"/><Relationship Id="rId19" Type="http://schemas.openxmlformats.org/officeDocument/2006/relationships/hyperlink" Target="https://www.ema.europa.eu/en/glossary/chmp"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chmp" TargetMode="External"/><Relationship Id="rId14" Type="http://schemas.openxmlformats.org/officeDocument/2006/relationships/hyperlink" Target="https://www.ema.europa.eu/en/glossary/chmp" TargetMode="External"/><Relationship Id="rId22" Type="http://schemas.openxmlformats.org/officeDocument/2006/relationships/hyperlink" Target="https://www.ema.europa.eu/en/glossary/orphan-design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2020-02-18T10:43:00Z</dcterms:created>
  <dcterms:modified xsi:type="dcterms:W3CDTF">2020-05-11T10:25:00Z</dcterms:modified>
</cp:coreProperties>
</file>