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774BB" w14:textId="77777777" w:rsidR="00CD29B7" w:rsidRPr="00CD29B7" w:rsidRDefault="00CD29B7" w:rsidP="00CD29B7">
      <w:pPr>
        <w:outlineLvl w:val="0"/>
        <w:rPr>
          <w:rFonts w:ascii="Verdana" w:eastAsia="Times New Roman" w:hAnsi="Verdana" w:cs="Times New Roman"/>
          <w:color w:val="000000"/>
          <w:kern w:val="36"/>
          <w:sz w:val="48"/>
          <w:szCs w:val="48"/>
        </w:rPr>
      </w:pPr>
      <w:r w:rsidRPr="00CD29B7">
        <w:rPr>
          <w:rFonts w:ascii="Verdana" w:eastAsia="Times New Roman" w:hAnsi="Verdana" w:cs="Times New Roman"/>
          <w:color w:val="000000"/>
          <w:kern w:val="36"/>
          <w:sz w:val="48"/>
          <w:szCs w:val="48"/>
        </w:rPr>
        <w:t>Medicine shortages: EU network takes steps to improve reporting and communication </w:t>
      </w:r>
    </w:p>
    <w:p w14:paraId="48F5EDBE" w14:textId="77777777" w:rsidR="00CD29B7" w:rsidRPr="00CD29B7" w:rsidRDefault="00CD29B7" w:rsidP="00CD29B7">
      <w:pPr>
        <w:rPr>
          <w:rFonts w:ascii="Verdana" w:eastAsia="Times New Roman" w:hAnsi="Verdana" w:cs="Times New Roman"/>
          <w:color w:val="000000"/>
        </w:rPr>
      </w:pPr>
      <w:r w:rsidRPr="00CD29B7">
        <w:rPr>
          <w:rFonts w:ascii="Verdana" w:eastAsia="Times New Roman" w:hAnsi="Verdana" w:cs="Times New Roman"/>
          <w:color w:val="000000"/>
        </w:rPr>
        <w:t>Share</w:t>
      </w:r>
    </w:p>
    <w:p w14:paraId="1DAE7AA0" w14:textId="77777777" w:rsidR="00CD29B7" w:rsidRPr="00CD29B7" w:rsidRDefault="00CD29B7" w:rsidP="00CD29B7">
      <w:pPr>
        <w:rPr>
          <w:rFonts w:ascii="Verdana" w:eastAsia="Times New Roman" w:hAnsi="Verdana" w:cs="Times New Roman"/>
          <w:color w:val="000000"/>
        </w:rPr>
      </w:pPr>
      <w:r w:rsidRPr="00CD29B7">
        <w:rPr>
          <w:rFonts w:ascii="Verdana" w:eastAsia="Times New Roman" w:hAnsi="Verdana" w:cs="Times New Roman"/>
          <w:color w:val="000000"/>
        </w:rPr>
        <w:t>Press release 04/07/2019</w:t>
      </w:r>
    </w:p>
    <w:p w14:paraId="49A3157B" w14:textId="36AE88EF" w:rsidR="00CD29B7" w:rsidRPr="00CD29B7" w:rsidRDefault="00CD29B7" w:rsidP="00CD29B7">
      <w:pPr>
        <w:spacing w:before="100" w:beforeAutospacing="1" w:after="100" w:afterAutospacing="1"/>
        <w:rPr>
          <w:rFonts w:ascii="Verdana" w:eastAsia="Times New Roman" w:hAnsi="Verdana" w:cs="Times New Roman"/>
          <w:color w:val="000000"/>
        </w:rPr>
      </w:pPr>
      <w:r w:rsidRPr="0040081F">
        <w:rPr>
          <w:rFonts w:ascii="Verdana" w:eastAsia="Times New Roman" w:hAnsi="Verdana" w:cs="Times New Roman"/>
          <w:color w:val="000000"/>
          <w:highlight w:val="lightGray"/>
        </w:rPr>
        <w:t>The European Union task force set up to address problems with medicines supply has published two documents today:</w:t>
      </w:r>
    </w:p>
    <w:p w14:paraId="107BE2DB" w14:textId="73B63925" w:rsidR="00CD29B7" w:rsidRPr="00CD29B7" w:rsidRDefault="00CD29B7" w:rsidP="00CD29B7">
      <w:pPr>
        <w:numPr>
          <w:ilvl w:val="0"/>
          <w:numId w:val="1"/>
        </w:numPr>
        <w:spacing w:beforeAutospacing="1" w:afterAutospacing="1"/>
        <w:rPr>
          <w:rFonts w:ascii="Verdana" w:eastAsia="Times New Roman" w:hAnsi="Verdana" w:cs="Times New Roman"/>
          <w:color w:val="000000"/>
        </w:rPr>
      </w:pPr>
      <w:r w:rsidRPr="00CD29B7">
        <w:rPr>
          <w:rFonts w:ascii="Verdana" w:eastAsia="Times New Roman" w:hAnsi="Verdana" w:cs="Times New Roman"/>
          <w:color w:val="000000"/>
        </w:rPr>
        <w:fldChar w:fldCharType="begin"/>
      </w:r>
      <w:r w:rsidRPr="00CD29B7">
        <w:rPr>
          <w:rFonts w:ascii="Verdana" w:eastAsia="Times New Roman" w:hAnsi="Verdana" w:cs="Times New Roman"/>
          <w:color w:val="000000"/>
        </w:rPr>
        <w:instrText xml:space="preserve"> INCLUDEPICTURE "/var/folders/nj/m875g2tj2j50hjqpdb11s_540000gn/T/com.microsoft.Word/WebArchiveCopyPasteTempFiles/application-pdf.svg" \* MERGEFORMATINET </w:instrText>
      </w:r>
      <w:r w:rsidRPr="00CD29B7">
        <w:rPr>
          <w:rFonts w:ascii="Verdana" w:eastAsia="Times New Roman" w:hAnsi="Verdana" w:cs="Times New Roman"/>
          <w:color w:val="000000"/>
        </w:rPr>
        <w:fldChar w:fldCharType="separate"/>
      </w:r>
      <w:r w:rsidRPr="00CD29B7">
        <w:rPr>
          <w:rFonts w:ascii="Verdana" w:eastAsia="Times New Roman" w:hAnsi="Verdana" w:cs="Times New Roman"/>
          <w:noProof/>
          <w:color w:val="000000"/>
        </w:rPr>
        <mc:AlternateContent>
          <mc:Choice Requires="wps">
            <w:drawing>
              <wp:inline distT="0" distB="0" distL="0" distR="0" wp14:anchorId="73D083D0" wp14:editId="41A1B554">
                <wp:extent cx="307975" cy="307975"/>
                <wp:effectExtent l="0" t="0" r="0" b="0"/>
                <wp:docPr id="3" name="Rectangle 3" descr="PDF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996F2" id="Rectangle 3" o:spid="_x0000_s1026" alt="PDF ic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" filled="f" stroked="f">
                <o:lock v:ext="edit" aspectratio="t"/>
                <w10:anchorlock/>
              </v:rect>
            </w:pict>
          </mc:Fallback>
        </mc:AlternateContent>
      </w:r>
      <w:r w:rsidRPr="00CD29B7">
        <w:rPr>
          <w:rFonts w:ascii="Verdana" w:eastAsia="Times New Roman" w:hAnsi="Verdana" w:cs="Times New Roman"/>
          <w:color w:val="000000"/>
        </w:rPr>
        <w:fldChar w:fldCharType="end"/>
      </w:r>
      <w:hyperlink r:id="rId5" w:tgtFrame="_blank" w:history="1">
        <w:r w:rsidRPr="00CD29B7">
          <w:rPr>
            <w:rFonts w:ascii="Verdana" w:eastAsia="Times New Roman" w:hAnsi="Verdana" w:cs="Times New Roman"/>
            <w:color w:val="75197C"/>
            <w:u w:val="single"/>
          </w:rPr>
          <w:t xml:space="preserve">guidance for marketing </w:t>
        </w:r>
        <w:proofErr w:type="spellStart"/>
        <w:r w:rsidRPr="00CD29B7">
          <w:rPr>
            <w:rFonts w:ascii="Verdana" w:eastAsia="Times New Roman" w:hAnsi="Verdana" w:cs="Times New Roman"/>
            <w:color w:val="75197C"/>
            <w:u w:val="single"/>
          </w:rPr>
          <w:t>authorisation</w:t>
        </w:r>
        <w:proofErr w:type="spellEnd"/>
        <w:r w:rsidRPr="00CD29B7">
          <w:rPr>
            <w:rFonts w:ascii="Verdana" w:eastAsia="Times New Roman" w:hAnsi="Verdana" w:cs="Times New Roman"/>
            <w:color w:val="75197C"/>
            <w:u w:val="single"/>
          </w:rPr>
          <w:t xml:space="preserve"> holders on reporting of shortages in the EU</w:t>
        </w:r>
      </w:hyperlink>
    </w:p>
    <w:p w14:paraId="7BBAB6DC" w14:textId="16DB67AF" w:rsidR="00CD29B7" w:rsidRPr="00CD29B7" w:rsidRDefault="00CD29B7" w:rsidP="00CD29B7">
      <w:pPr>
        <w:numPr>
          <w:ilvl w:val="0"/>
          <w:numId w:val="1"/>
        </w:numPr>
        <w:spacing w:beforeAutospacing="1" w:afterAutospacing="1"/>
        <w:rPr>
          <w:rFonts w:ascii="Verdana" w:eastAsia="Times New Roman" w:hAnsi="Verdana" w:cs="Times New Roman"/>
          <w:color w:val="000000"/>
        </w:rPr>
      </w:pPr>
      <w:r w:rsidRPr="00CD29B7">
        <w:rPr>
          <w:rFonts w:ascii="Verdana" w:eastAsia="Times New Roman" w:hAnsi="Verdana" w:cs="Times New Roman"/>
          <w:color w:val="000000"/>
        </w:rPr>
        <w:fldChar w:fldCharType="begin"/>
      </w:r>
      <w:r w:rsidRPr="00CD29B7">
        <w:rPr>
          <w:rFonts w:ascii="Verdana" w:eastAsia="Times New Roman" w:hAnsi="Verdana" w:cs="Times New Roman"/>
          <w:color w:val="000000"/>
        </w:rPr>
        <w:instrText xml:space="preserve"> INCLUDEPICTURE "/var/folders/nj/m875g2tj2j50hjqpdb11s_540000gn/T/com.microsoft.Word/WebArchiveCopyPasteTempFiles/application-pdf.svg" \* MERGEFORMATINET </w:instrText>
      </w:r>
      <w:r w:rsidRPr="00CD29B7">
        <w:rPr>
          <w:rFonts w:ascii="Verdana" w:eastAsia="Times New Roman" w:hAnsi="Verdana" w:cs="Times New Roman"/>
          <w:color w:val="000000"/>
        </w:rPr>
        <w:fldChar w:fldCharType="separate"/>
      </w:r>
      <w:r w:rsidRPr="00CD29B7">
        <w:rPr>
          <w:rFonts w:ascii="Verdana" w:eastAsia="Times New Roman" w:hAnsi="Verdana" w:cs="Times New Roman"/>
          <w:noProof/>
          <w:color w:val="000000"/>
        </w:rPr>
        <mc:AlternateContent>
          <mc:Choice Requires="wps">
            <w:drawing>
              <wp:inline distT="0" distB="0" distL="0" distR="0" wp14:anchorId="215DAB51" wp14:editId="561FA3CA">
                <wp:extent cx="307975" cy="307975"/>
                <wp:effectExtent l="0" t="0" r="0" b="0"/>
                <wp:docPr id="2" name="Rectangle 2" descr="PDF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D36A3" id="Rectangle 2" o:spid="_x0000_s1026" alt="PDF ic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" filled="f" stroked="f">
                <o:lock v:ext="edit" aspectratio="t"/>
                <w10:anchorlock/>
              </v:rect>
            </w:pict>
          </mc:Fallback>
        </mc:AlternateContent>
      </w:r>
      <w:r w:rsidRPr="00CD29B7">
        <w:rPr>
          <w:rFonts w:ascii="Verdana" w:eastAsia="Times New Roman" w:hAnsi="Verdana" w:cs="Times New Roman"/>
          <w:color w:val="000000"/>
        </w:rPr>
        <w:fldChar w:fldCharType="end"/>
      </w:r>
      <w:hyperlink r:id="rId6" w:tgtFrame="_blank" w:history="1">
        <w:r w:rsidRPr="00CD29B7">
          <w:rPr>
            <w:rFonts w:ascii="Verdana" w:eastAsia="Times New Roman" w:hAnsi="Verdana" w:cs="Times New Roman"/>
            <w:color w:val="75197C"/>
            <w:u w:val="single"/>
          </w:rPr>
          <w:t>good practice guidance for communication to the public on medicines’ availability issues</w:t>
        </w:r>
      </w:hyperlink>
    </w:p>
    <w:p w14:paraId="450604D1" w14:textId="77777777" w:rsidR="00CD29B7" w:rsidRPr="00CD29B7" w:rsidRDefault="00CD29B7" w:rsidP="00CD29B7">
      <w:pPr>
        <w:spacing w:before="100" w:beforeAutospacing="1" w:after="100" w:afterAutospacing="1"/>
        <w:rPr>
          <w:rFonts w:ascii="Verdana" w:eastAsia="Times New Roman" w:hAnsi="Verdana" w:cs="Times New Roman"/>
          <w:color w:val="000000"/>
        </w:rPr>
      </w:pPr>
      <w:r w:rsidRPr="00CD29B7">
        <w:rPr>
          <w:rFonts w:ascii="Verdana" w:eastAsia="Times New Roman" w:hAnsi="Verdana" w:cs="Times New Roman"/>
          <w:color w:val="000000"/>
        </w:rPr>
        <w:t xml:space="preserve">The task force was established by </w:t>
      </w:r>
      <w:r w:rsidRPr="0040081F">
        <w:rPr>
          <w:rFonts w:ascii="Verdana" w:eastAsia="Times New Roman" w:hAnsi="Verdana" w:cs="Times New Roman"/>
          <w:color w:val="000000"/>
          <w:highlight w:val="lightGray"/>
        </w:rPr>
        <w:t>EU regulators to better address potential problems with medicines’ supply and to develop and coordinate actions to facilitate the prevention</w:t>
      </w:r>
      <w:bookmarkStart w:id="0" w:name="_GoBack"/>
      <w:bookmarkEnd w:id="0"/>
      <w:r w:rsidRPr="00CD29B7">
        <w:rPr>
          <w:rFonts w:ascii="Verdana" w:eastAsia="Times New Roman" w:hAnsi="Verdana" w:cs="Times New Roman"/>
          <w:color w:val="000000"/>
        </w:rPr>
        <w:t>, identification, management of and communication about shortages.</w:t>
      </w:r>
    </w:p>
    <w:p w14:paraId="12F3992D" w14:textId="77777777" w:rsidR="00CD29B7" w:rsidRPr="00CD29B7" w:rsidRDefault="00CD29B7" w:rsidP="00CD29B7">
      <w:pPr>
        <w:spacing w:before="100" w:beforeAutospacing="1" w:after="100" w:afterAutospacing="1"/>
        <w:rPr>
          <w:rFonts w:ascii="Verdana" w:eastAsia="Times New Roman" w:hAnsi="Verdana" w:cs="Times New Roman"/>
          <w:color w:val="000000"/>
        </w:rPr>
      </w:pPr>
      <w:r w:rsidRPr="00CD29B7">
        <w:rPr>
          <w:rFonts w:ascii="Verdana" w:eastAsia="Times New Roman" w:hAnsi="Verdana" w:cs="Times New Roman"/>
          <w:color w:val="000000"/>
        </w:rPr>
        <w:t xml:space="preserve">Both documents lay the foundations for an improved and </w:t>
      </w:r>
      <w:proofErr w:type="spellStart"/>
      <w:r w:rsidRPr="00CD29B7">
        <w:rPr>
          <w:rFonts w:ascii="Verdana" w:eastAsia="Times New Roman" w:hAnsi="Verdana" w:cs="Times New Roman"/>
          <w:color w:val="000000"/>
        </w:rPr>
        <w:t>harmonised</w:t>
      </w:r>
      <w:proofErr w:type="spellEnd"/>
      <w:r w:rsidRPr="00CD29B7">
        <w:rPr>
          <w:rFonts w:ascii="Verdana" w:eastAsia="Times New Roman" w:hAnsi="Verdana" w:cs="Times New Roman"/>
          <w:color w:val="000000"/>
        </w:rPr>
        <w:t xml:space="preserve"> EU approach in reporting of and communication on medicines’ shortages and availability issues, a key public health priority for the EU network.</w:t>
      </w:r>
    </w:p>
    <w:p w14:paraId="2647FF42" w14:textId="77777777" w:rsidR="00CD29B7" w:rsidRPr="00CD29B7" w:rsidRDefault="00CD29B7" w:rsidP="00CD29B7">
      <w:pPr>
        <w:spacing w:before="100" w:beforeAutospacing="1" w:after="100" w:afterAutospacing="1"/>
        <w:rPr>
          <w:rFonts w:ascii="Verdana" w:eastAsia="Times New Roman" w:hAnsi="Verdana" w:cs="Times New Roman"/>
          <w:color w:val="000000"/>
        </w:rPr>
      </w:pPr>
      <w:r w:rsidRPr="00CD29B7">
        <w:rPr>
          <w:rFonts w:ascii="Verdana" w:eastAsia="Times New Roman" w:hAnsi="Verdana" w:cs="Times New Roman"/>
          <w:color w:val="000000"/>
        </w:rPr>
        <w:t xml:space="preserve">The first document provides guidance to the pharmaceutical industry, a key player in addressing shortages, to facilitate the detection and early notification to competent authorities. The guidance is based on a common definition of the term ‘shortages’, which should enable a more </w:t>
      </w:r>
      <w:proofErr w:type="spellStart"/>
      <w:r w:rsidRPr="00CD29B7">
        <w:rPr>
          <w:rFonts w:ascii="Verdana" w:eastAsia="Times New Roman" w:hAnsi="Verdana" w:cs="Times New Roman"/>
          <w:color w:val="000000"/>
        </w:rPr>
        <w:t>harmonised</w:t>
      </w:r>
      <w:proofErr w:type="spellEnd"/>
      <w:r w:rsidRPr="00CD29B7">
        <w:rPr>
          <w:rFonts w:ascii="Verdana" w:eastAsia="Times New Roman" w:hAnsi="Verdana" w:cs="Times New Roman"/>
          <w:color w:val="000000"/>
        </w:rPr>
        <w:t xml:space="preserve"> and timely approach in the detection and management of issues with the supply of medicines. A proposed template for shortage notification by companies is included in the guidance. The guidance and template will be implemented in a pilot phase, which is currently planned to start in the last quarter of 2019. Further information will be provided nearer the time.</w:t>
      </w:r>
    </w:p>
    <w:p w14:paraId="33184B63" w14:textId="77777777" w:rsidR="00CD29B7" w:rsidRPr="00CD29B7" w:rsidRDefault="00CD29B7" w:rsidP="00CD29B7">
      <w:pPr>
        <w:spacing w:beforeAutospacing="1" w:afterAutospacing="1"/>
        <w:rPr>
          <w:rFonts w:ascii="Verdana" w:eastAsia="Times New Roman" w:hAnsi="Verdana" w:cs="Times New Roman"/>
          <w:color w:val="000000"/>
        </w:rPr>
      </w:pPr>
      <w:r w:rsidRPr="00CD29B7">
        <w:rPr>
          <w:rFonts w:ascii="Verdana" w:eastAsia="Times New Roman" w:hAnsi="Verdana" w:cs="Times New Roman"/>
          <w:color w:val="000000"/>
        </w:rPr>
        <w:t>The second document, addressed to EU </w:t>
      </w:r>
      <w:hyperlink r:id="rId7" w:tgtFrame="_blank" w:tooltip="A medicines regulatory authority in a European Union Member State." w:history="1">
        <w:r w:rsidRPr="00CD29B7">
          <w:rPr>
            <w:rFonts w:ascii="Verdana" w:eastAsia="Times New Roman" w:hAnsi="Verdana" w:cs="Times New Roman"/>
            <w:color w:val="000000"/>
            <w:u w:val="single"/>
          </w:rPr>
          <w:t>national competent authorities</w:t>
        </w:r>
      </w:hyperlink>
      <w:r w:rsidRPr="00CD29B7">
        <w:rPr>
          <w:rFonts w:ascii="Verdana" w:eastAsia="Times New Roman" w:hAnsi="Verdana" w:cs="Times New Roman"/>
          <w:color w:val="000000"/>
        </w:rPr>
        <w:t xml:space="preserve"> and EMA, lays out principles and examples of good practices for communication on shortages to the public, including patients and healthcare professionals. These groups require timely, accurate and up-to-date information on availability issues to ensure continuity of care. The guidance is based on a survey carried out by the task force in all EU Member States to collect </w:t>
      </w:r>
      <w:r w:rsidRPr="00CD29B7">
        <w:rPr>
          <w:rFonts w:ascii="Verdana" w:eastAsia="Times New Roman" w:hAnsi="Verdana" w:cs="Times New Roman"/>
          <w:color w:val="000000"/>
        </w:rPr>
        <w:lastRenderedPageBreak/>
        <w:t>information on how issues related to shortages and availability of medicines are measured and communicated to the public.</w:t>
      </w:r>
    </w:p>
    <w:p w14:paraId="4610E896" w14:textId="61F045AF" w:rsidR="00CD29B7" w:rsidRPr="00CD29B7" w:rsidRDefault="00CD29B7" w:rsidP="00CD29B7">
      <w:pPr>
        <w:spacing w:beforeAutospacing="1" w:afterAutospacing="1"/>
        <w:rPr>
          <w:rFonts w:ascii="Verdana" w:eastAsia="Times New Roman" w:hAnsi="Verdana" w:cs="Times New Roman"/>
          <w:color w:val="000000"/>
        </w:rPr>
      </w:pPr>
      <w:r w:rsidRPr="00CD29B7">
        <w:rPr>
          <w:rFonts w:ascii="Verdana" w:eastAsia="Times New Roman" w:hAnsi="Verdana" w:cs="Times New Roman"/>
          <w:color w:val="000000"/>
        </w:rPr>
        <w:t>The documents are two key deliverables of the task force and they have undergone extensive consultation with stakeholder groups, including at a </w:t>
      </w:r>
      <w:hyperlink r:id="rId8" w:history="1">
        <w:r w:rsidRPr="00CD29B7">
          <w:rPr>
            <w:rFonts w:ascii="Verdana" w:eastAsia="Times New Roman" w:hAnsi="Verdana" w:cs="Times New Roman"/>
            <w:color w:val="75197C"/>
            <w:u w:val="single"/>
          </w:rPr>
          <w:t>multi-stakeholder workshop</w:t>
        </w:r>
      </w:hyperlink>
      <w:r w:rsidRPr="00CD29B7">
        <w:rPr>
          <w:rFonts w:ascii="Verdana" w:eastAsia="Times New Roman" w:hAnsi="Verdana" w:cs="Times New Roman"/>
          <w:color w:val="000000"/>
        </w:rPr>
        <w:t> in November 2018. They are listed in the </w:t>
      </w:r>
      <w:r w:rsidRPr="00CD29B7">
        <w:rPr>
          <w:rFonts w:ascii="Verdana" w:eastAsia="Times New Roman" w:hAnsi="Verdana" w:cs="Times New Roman"/>
          <w:color w:val="000000"/>
        </w:rPr>
        <w:fldChar w:fldCharType="begin"/>
      </w:r>
      <w:r w:rsidRPr="00CD29B7">
        <w:rPr>
          <w:rFonts w:ascii="Verdana" w:eastAsia="Times New Roman" w:hAnsi="Verdana" w:cs="Times New Roman"/>
          <w:color w:val="000000"/>
        </w:rPr>
        <w:instrText xml:space="preserve"> INCLUDEPICTURE "/var/folders/nj/m875g2tj2j50hjqpdb11s_540000gn/T/com.microsoft.Word/WebArchiveCopyPasteTempFiles/application-pdf.svg" \* MERGEFORMATINET </w:instrText>
      </w:r>
      <w:r w:rsidRPr="00CD29B7">
        <w:rPr>
          <w:rFonts w:ascii="Verdana" w:eastAsia="Times New Roman" w:hAnsi="Verdana" w:cs="Times New Roman"/>
          <w:color w:val="000000"/>
        </w:rPr>
        <w:fldChar w:fldCharType="separate"/>
      </w:r>
      <w:r w:rsidRPr="00CD29B7">
        <w:rPr>
          <w:rFonts w:ascii="Verdana" w:eastAsia="Times New Roman" w:hAnsi="Verdana" w:cs="Times New Roman"/>
          <w:noProof/>
          <w:color w:val="000000"/>
        </w:rPr>
        <mc:AlternateContent>
          <mc:Choice Requires="wps">
            <w:drawing>
              <wp:inline distT="0" distB="0" distL="0" distR="0" wp14:anchorId="2181F382" wp14:editId="16CD6D8C">
                <wp:extent cx="307975" cy="307975"/>
                <wp:effectExtent l="0" t="0" r="0" b="0"/>
                <wp:docPr id="1" name="Rectangle 1" descr="PDF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58196" id="Rectangle 1" o:spid="_x0000_s1026" alt="PDF ic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" filled="f" stroked="f">
                <o:lock v:ext="edit" aspectratio="t"/>
                <w10:anchorlock/>
              </v:rect>
            </w:pict>
          </mc:Fallback>
        </mc:AlternateContent>
      </w:r>
      <w:r w:rsidRPr="00CD29B7">
        <w:rPr>
          <w:rFonts w:ascii="Verdana" w:eastAsia="Times New Roman" w:hAnsi="Verdana" w:cs="Times New Roman"/>
          <w:color w:val="000000"/>
        </w:rPr>
        <w:fldChar w:fldCharType="end"/>
      </w:r>
      <w:hyperlink r:id="rId9" w:tgtFrame="_blank" w:history="1">
        <w:r w:rsidRPr="00CD29B7">
          <w:rPr>
            <w:rFonts w:ascii="Verdana" w:eastAsia="Times New Roman" w:hAnsi="Verdana" w:cs="Times New Roman"/>
            <w:color w:val="75197C"/>
            <w:u w:val="single"/>
          </w:rPr>
          <w:t xml:space="preserve">work </w:t>
        </w:r>
        <w:proofErr w:type="spellStart"/>
        <w:r w:rsidRPr="00CD29B7">
          <w:rPr>
            <w:rFonts w:ascii="Verdana" w:eastAsia="Times New Roman" w:hAnsi="Verdana" w:cs="Times New Roman"/>
            <w:color w:val="75197C"/>
            <w:u w:val="single"/>
          </w:rPr>
          <w:t>programme</w:t>
        </w:r>
        <w:proofErr w:type="spellEnd"/>
        <w:r w:rsidRPr="00CD29B7">
          <w:rPr>
            <w:rFonts w:ascii="Verdana" w:eastAsia="Times New Roman" w:hAnsi="Verdana" w:cs="Times New Roman"/>
            <w:color w:val="75197C"/>
            <w:u w:val="single"/>
          </w:rPr>
          <w:t> 2018-2020</w:t>
        </w:r>
      </w:hyperlink>
      <w:r w:rsidRPr="00CD29B7">
        <w:rPr>
          <w:rFonts w:ascii="Verdana" w:eastAsia="Times New Roman" w:hAnsi="Verdana" w:cs="Times New Roman"/>
          <w:color w:val="000000"/>
        </w:rPr>
        <w:t> , which has been recently updated.</w:t>
      </w:r>
    </w:p>
    <w:p w14:paraId="11B7913F" w14:textId="77777777" w:rsidR="00CD29B7" w:rsidRPr="00CD29B7" w:rsidRDefault="00CD29B7" w:rsidP="00CD29B7">
      <w:pPr>
        <w:spacing w:beforeAutospacing="1" w:afterAutospacing="1"/>
        <w:rPr>
          <w:rFonts w:ascii="Verdana" w:eastAsia="Times New Roman" w:hAnsi="Verdana" w:cs="Times New Roman"/>
          <w:color w:val="000000"/>
        </w:rPr>
      </w:pPr>
      <w:r w:rsidRPr="00CD29B7">
        <w:rPr>
          <w:rFonts w:ascii="Verdana" w:eastAsia="Times New Roman" w:hAnsi="Verdana" w:cs="Times New Roman"/>
          <w:color w:val="000000"/>
        </w:rPr>
        <w:t>The task force was set up by EMA and the </w:t>
      </w:r>
      <w:hyperlink r:id="rId10" w:tgtFrame="_blank" w:tooltip="The network of the heads of the regulatory authorities responsible for the regulation of human and veterinary medicines in the European Economic Area. Abbreviated as HMA. More information can be found under Heads of Medicines Agencies." w:history="1">
        <w:r w:rsidRPr="00CD29B7">
          <w:rPr>
            <w:rFonts w:ascii="Verdana" w:eastAsia="Times New Roman" w:hAnsi="Verdana" w:cs="Times New Roman"/>
            <w:color w:val="000000"/>
            <w:u w:val="single"/>
          </w:rPr>
          <w:t>Heads of Medicines Agencies</w:t>
        </w:r>
      </w:hyperlink>
      <w:r w:rsidRPr="00CD29B7">
        <w:rPr>
          <w:rFonts w:ascii="Verdana" w:eastAsia="Times New Roman" w:hAnsi="Verdana" w:cs="Times New Roman"/>
          <w:color w:val="000000"/>
        </w:rPr>
        <w:t> (HMA), with representatives from the European Commission and </w:t>
      </w:r>
      <w:hyperlink r:id="rId11" w:tgtFrame="_blank" w:tooltip="A medicines regulatory authority in a European Union Member State." w:history="1">
        <w:r w:rsidRPr="00CD29B7">
          <w:rPr>
            <w:rFonts w:ascii="Verdana" w:eastAsia="Times New Roman" w:hAnsi="Verdana" w:cs="Times New Roman"/>
            <w:color w:val="000000"/>
            <w:u w:val="single"/>
          </w:rPr>
          <w:t>national competent authorities</w:t>
        </w:r>
      </w:hyperlink>
      <w:r w:rsidRPr="00CD29B7">
        <w:rPr>
          <w:rFonts w:ascii="Verdana" w:eastAsia="Times New Roman" w:hAnsi="Verdana" w:cs="Times New Roman"/>
          <w:color w:val="000000"/>
        </w:rPr>
        <w:t>, the chairs of the Co-ordination Group for </w:t>
      </w:r>
      <w:hyperlink r:id="rId12" w:tgtFrame="_blank" w:tooltip="A procedure through which an authorisation of a medicine in one European Union Member State is recognised by another Member State. For more information, see volume 2A -  Procedures for marketing authorisation -  Chapter 2 -  Mutual recognition." w:history="1">
        <w:r w:rsidRPr="00CD29B7">
          <w:rPr>
            <w:rFonts w:ascii="Verdana" w:eastAsia="Times New Roman" w:hAnsi="Verdana" w:cs="Times New Roman"/>
            <w:color w:val="000000"/>
            <w:u w:val="single"/>
          </w:rPr>
          <w:t>Mutual Recognition</w:t>
        </w:r>
      </w:hyperlink>
      <w:r w:rsidRPr="00CD29B7">
        <w:rPr>
          <w:rFonts w:ascii="Verdana" w:eastAsia="Times New Roman" w:hAnsi="Verdana" w:cs="Times New Roman"/>
          <w:color w:val="000000"/>
        </w:rPr>
        <w:t> and </w:t>
      </w:r>
      <w:proofErr w:type="spellStart"/>
      <w:r w:rsidR="0040081F">
        <w:rPr>
          <w:rFonts w:ascii="Verdana" w:eastAsia="Times New Roman" w:hAnsi="Verdana" w:cs="Times New Roman"/>
          <w:color w:val="000000"/>
          <w:u w:val="single"/>
        </w:rPr>
        <w:fldChar w:fldCharType="begin"/>
      </w:r>
      <w:r w:rsidR="0040081F">
        <w:rPr>
          <w:rFonts w:ascii="Verdana" w:eastAsia="Times New Roman" w:hAnsi="Verdana" w:cs="Times New Roman"/>
          <w:color w:val="000000"/>
          <w:u w:val="single"/>
        </w:rPr>
        <w:instrText xml:space="preserve"> HYPERLINK "https://www.ema.europa.eu/en/glossary/decentralised-procedure" \t "_blank" \o "The procedure for authorising medicines in more than one Europe</w:instrText>
      </w:r>
      <w:r w:rsidR="0040081F">
        <w:rPr>
          <w:rFonts w:ascii="Verdana" w:eastAsia="Times New Roman" w:hAnsi="Verdana" w:cs="Times New Roman"/>
          <w:color w:val="000000"/>
          <w:u w:val="single"/>
        </w:rPr>
        <w:instrText>an Union Member State in parallel. It can be used for medicines that do not need to be authorised via the centralised procedure and have not already been authorised in any Member State. </w:instrText>
      </w:r>
      <w:r w:rsidR="0040081F">
        <w:rPr>
          <w:rFonts w:ascii="Verdana" w:eastAsia="Times New Roman" w:hAnsi="Verdana" w:cs="Times New Roman"/>
          <w:color w:val="000000"/>
          <w:u w:val="single"/>
        </w:rPr>
        <w:cr/>
        <w:instrText xml:space="preserve"> </w:instrText>
      </w:r>
      <w:r w:rsidR="0040081F">
        <w:rPr>
          <w:rFonts w:ascii="Verdana" w:eastAsia="Times New Roman" w:hAnsi="Verdana" w:cs="Times New Roman"/>
          <w:color w:val="000000"/>
          <w:u w:val="single"/>
        </w:rPr>
        <w:cr/>
        <w:instrText xml:space="preserve"> For more information, see the European Commission's Volume 2A -  P</w:instrText>
      </w:r>
      <w:r w:rsidR="0040081F">
        <w:rPr>
          <w:rFonts w:ascii="Verdana" w:eastAsia="Times New Roman" w:hAnsi="Verdana" w:cs="Times New Roman"/>
          <w:color w:val="000000"/>
          <w:u w:val="single"/>
        </w:rPr>
        <w:instrText xml:space="preserve">rocedures for marketing authorisation -  Chapter 2 -  Mutual recognition." </w:instrText>
      </w:r>
      <w:r w:rsidR="0040081F">
        <w:rPr>
          <w:rFonts w:ascii="Verdana" w:eastAsia="Times New Roman" w:hAnsi="Verdana" w:cs="Times New Roman"/>
          <w:color w:val="000000"/>
          <w:u w:val="single"/>
        </w:rPr>
        <w:fldChar w:fldCharType="separate"/>
      </w:r>
      <w:r w:rsidRPr="00CD29B7">
        <w:rPr>
          <w:rFonts w:ascii="Verdana" w:eastAsia="Times New Roman" w:hAnsi="Verdana" w:cs="Times New Roman"/>
          <w:color w:val="000000"/>
          <w:u w:val="single"/>
        </w:rPr>
        <w:t>Decentralised</w:t>
      </w:r>
      <w:proofErr w:type="spellEnd"/>
      <w:r w:rsidRPr="00CD29B7">
        <w:rPr>
          <w:rFonts w:ascii="Verdana" w:eastAsia="Times New Roman" w:hAnsi="Verdana" w:cs="Times New Roman"/>
          <w:color w:val="000000"/>
          <w:u w:val="single"/>
        </w:rPr>
        <w:t xml:space="preserve"> Procedures</w:t>
      </w:r>
      <w:r w:rsidR="0040081F">
        <w:rPr>
          <w:rFonts w:ascii="Verdana" w:eastAsia="Times New Roman" w:hAnsi="Verdana" w:cs="Times New Roman"/>
          <w:color w:val="000000"/>
          <w:u w:val="single"/>
        </w:rPr>
        <w:fldChar w:fldCharType="end"/>
      </w:r>
      <w:r w:rsidRPr="00CD29B7">
        <w:rPr>
          <w:rFonts w:ascii="Verdana" w:eastAsia="Times New Roman" w:hAnsi="Verdana" w:cs="Times New Roman"/>
          <w:color w:val="000000"/>
        </w:rPr>
        <w:t> – Human (</w:t>
      </w:r>
      <w:proofErr w:type="spellStart"/>
      <w:r w:rsidR="0040081F">
        <w:rPr>
          <w:rFonts w:ascii="Verdana" w:eastAsia="Times New Roman" w:hAnsi="Verdana" w:cs="Times New Roman"/>
          <w:color w:val="000000"/>
          <w:u w:val="single"/>
        </w:rPr>
        <w:fldChar w:fldCharType="begin"/>
      </w:r>
      <w:r w:rsidR="0040081F">
        <w:rPr>
          <w:rFonts w:ascii="Verdana" w:eastAsia="Times New Roman" w:hAnsi="Verdana" w:cs="Times New Roman"/>
          <w:color w:val="000000"/>
          <w:u w:val="single"/>
        </w:rPr>
        <w:instrText xml:space="preserve"> HYPERLINK "https://www.ema.europa.eu/en/glossary/cmdh" \t "_blank" \o "Coordination Group for Mutual Recognition and Decentralised Procedures -</w:instrText>
      </w:r>
      <w:r w:rsidR="0040081F">
        <w:rPr>
          <w:rFonts w:ascii="Verdana" w:eastAsia="Times New Roman" w:hAnsi="Verdana" w:cs="Times New Roman"/>
          <w:color w:val="000000"/>
          <w:u w:val="single"/>
        </w:rPr>
        <w:instrText xml:space="preserve"> Human -  the group responsible for the examination and coordination of questions relating to the marketing authorisation of human medicines in two or more Member States in accordance with the mutual recognition or decentralised procedure. </w:instrText>
      </w:r>
      <w:r w:rsidR="0040081F">
        <w:rPr>
          <w:rFonts w:ascii="Verdana" w:eastAsia="Times New Roman" w:hAnsi="Verdana" w:cs="Times New Roman"/>
          <w:color w:val="000000"/>
          <w:u w:val="single"/>
        </w:rPr>
        <w:cr/>
        <w:instrText xml:space="preserve"> </w:instrText>
      </w:r>
      <w:r w:rsidR="0040081F">
        <w:rPr>
          <w:rFonts w:ascii="Verdana" w:eastAsia="Times New Roman" w:hAnsi="Verdana" w:cs="Times New Roman"/>
          <w:color w:val="000000"/>
          <w:u w:val="single"/>
        </w:rPr>
        <w:cr/>
        <w:instrText xml:space="preserve"> More informa</w:instrText>
      </w:r>
      <w:r w:rsidR="0040081F">
        <w:rPr>
          <w:rFonts w:ascii="Verdana" w:eastAsia="Times New Roman" w:hAnsi="Verdana" w:cs="Times New Roman"/>
          <w:color w:val="000000"/>
          <w:u w:val="single"/>
        </w:rPr>
        <w:instrText xml:space="preserve">tion can be found under 'Coordination Group for Mutual Recognition and Decentralised Procedures - Human (CMDh)'." </w:instrText>
      </w:r>
      <w:r w:rsidR="0040081F">
        <w:rPr>
          <w:rFonts w:ascii="Verdana" w:eastAsia="Times New Roman" w:hAnsi="Verdana" w:cs="Times New Roman"/>
          <w:color w:val="000000"/>
          <w:u w:val="single"/>
        </w:rPr>
        <w:fldChar w:fldCharType="separate"/>
      </w:r>
      <w:r w:rsidRPr="00CD29B7">
        <w:rPr>
          <w:rFonts w:ascii="Verdana" w:eastAsia="Times New Roman" w:hAnsi="Verdana" w:cs="Times New Roman"/>
          <w:color w:val="000000"/>
          <w:u w:val="single"/>
        </w:rPr>
        <w:t>CMDh</w:t>
      </w:r>
      <w:proofErr w:type="spellEnd"/>
      <w:r w:rsidR="0040081F">
        <w:rPr>
          <w:rFonts w:ascii="Verdana" w:eastAsia="Times New Roman" w:hAnsi="Verdana" w:cs="Times New Roman"/>
          <w:color w:val="000000"/>
          <w:u w:val="single"/>
        </w:rPr>
        <w:fldChar w:fldCharType="end"/>
      </w:r>
      <w:r w:rsidRPr="00CD29B7">
        <w:rPr>
          <w:rFonts w:ascii="Verdana" w:eastAsia="Times New Roman" w:hAnsi="Verdana" w:cs="Times New Roman"/>
          <w:color w:val="000000"/>
        </w:rPr>
        <w:t>) and Veterinary (</w:t>
      </w:r>
      <w:proofErr w:type="spellStart"/>
      <w:r w:rsidR="0040081F">
        <w:rPr>
          <w:rFonts w:ascii="Verdana" w:eastAsia="Times New Roman" w:hAnsi="Verdana" w:cs="Times New Roman"/>
          <w:color w:val="000000"/>
          <w:u w:val="single"/>
        </w:rPr>
        <w:fldChar w:fldCharType="begin"/>
      </w:r>
      <w:r w:rsidR="0040081F">
        <w:rPr>
          <w:rFonts w:ascii="Verdana" w:eastAsia="Times New Roman" w:hAnsi="Verdana" w:cs="Times New Roman"/>
          <w:color w:val="000000"/>
          <w:u w:val="single"/>
        </w:rPr>
        <w:instrText xml:space="preserve"> HYPERLINK "https://www.ema.europa.eu/en/glossary/cmdv" \t "_blank" \o "Coordination Group for Mutual Recognition and</w:instrText>
      </w:r>
      <w:r w:rsidR="0040081F">
        <w:rPr>
          <w:rFonts w:ascii="Verdana" w:eastAsia="Times New Roman" w:hAnsi="Verdana" w:cs="Times New Roman"/>
          <w:color w:val="000000"/>
          <w:u w:val="single"/>
        </w:rPr>
        <w:instrText xml:space="preserve"> Decentralised Procedures - Veterinary -  the group responsible for the examination and coordination of questions relating to the marketing authorisation of veterinary medicines in two or more Member States in accordance with the mutual recognition or dece</w:instrText>
      </w:r>
      <w:r w:rsidR="0040081F">
        <w:rPr>
          <w:rFonts w:ascii="Verdana" w:eastAsia="Times New Roman" w:hAnsi="Verdana" w:cs="Times New Roman"/>
          <w:color w:val="000000"/>
          <w:u w:val="single"/>
        </w:rPr>
        <w:instrText>ntralised procedure. </w:instrText>
      </w:r>
      <w:r w:rsidR="0040081F">
        <w:rPr>
          <w:rFonts w:ascii="Verdana" w:eastAsia="Times New Roman" w:hAnsi="Verdana" w:cs="Times New Roman"/>
          <w:color w:val="000000"/>
          <w:u w:val="single"/>
        </w:rPr>
        <w:cr/>
        <w:instrText xml:space="preserve"> </w:instrText>
      </w:r>
      <w:r w:rsidR="0040081F">
        <w:rPr>
          <w:rFonts w:ascii="Verdana" w:eastAsia="Times New Roman" w:hAnsi="Verdana" w:cs="Times New Roman"/>
          <w:color w:val="000000"/>
          <w:u w:val="single"/>
        </w:rPr>
        <w:cr/>
        <w:instrText xml:space="preserve"> More information can be found under 'Coordination Group for Mutual Recognition and Decentralised Procedures - Veterinary (CMDv)'." </w:instrText>
      </w:r>
      <w:r w:rsidR="0040081F">
        <w:rPr>
          <w:rFonts w:ascii="Verdana" w:eastAsia="Times New Roman" w:hAnsi="Verdana" w:cs="Times New Roman"/>
          <w:color w:val="000000"/>
          <w:u w:val="single"/>
        </w:rPr>
        <w:fldChar w:fldCharType="separate"/>
      </w:r>
      <w:r w:rsidRPr="00CD29B7">
        <w:rPr>
          <w:rFonts w:ascii="Verdana" w:eastAsia="Times New Roman" w:hAnsi="Verdana" w:cs="Times New Roman"/>
          <w:color w:val="000000"/>
          <w:u w:val="single"/>
        </w:rPr>
        <w:t>CMDv</w:t>
      </w:r>
      <w:proofErr w:type="spellEnd"/>
      <w:r w:rsidR="0040081F">
        <w:rPr>
          <w:rFonts w:ascii="Verdana" w:eastAsia="Times New Roman" w:hAnsi="Verdana" w:cs="Times New Roman"/>
          <w:color w:val="000000"/>
          <w:u w:val="single"/>
        </w:rPr>
        <w:fldChar w:fldCharType="end"/>
      </w:r>
      <w:r w:rsidRPr="00CD29B7">
        <w:rPr>
          <w:rFonts w:ascii="Verdana" w:eastAsia="Times New Roman" w:hAnsi="Verdana" w:cs="Times New Roman"/>
          <w:color w:val="000000"/>
        </w:rPr>
        <w:t>), the GMP/GDP Inspectors Working Group, the Working Group of Communication Professionals (WGCP) and the European Surveillance Strategy Working Group (ESS WG).</w:t>
      </w:r>
    </w:p>
    <w:p w14:paraId="4A4BCDB1" w14:textId="77777777" w:rsidR="00CD29B7" w:rsidRPr="00CD29B7" w:rsidRDefault="00CD29B7" w:rsidP="00CD29B7">
      <w:pPr>
        <w:spacing w:before="100" w:beforeAutospacing="1" w:after="100" w:afterAutospacing="1"/>
        <w:rPr>
          <w:rFonts w:ascii="Verdana" w:eastAsia="Times New Roman" w:hAnsi="Verdana" w:cs="Times New Roman"/>
          <w:color w:val="000000"/>
        </w:rPr>
      </w:pPr>
      <w:r w:rsidRPr="00CD29B7">
        <w:rPr>
          <w:rFonts w:ascii="Verdana" w:eastAsia="Times New Roman" w:hAnsi="Verdana" w:cs="Times New Roman"/>
          <w:color w:val="000000"/>
        </w:rPr>
        <w:t xml:space="preserve">Shortages and availability problems are complex with no quick solutions. Medicine regulatory authorities are only one of the many actors involved in availability issues, however they play an important role in prevention and management. By bringing together experts from various EU member states, the work of the task force lays the foundations for an improved and </w:t>
      </w:r>
      <w:proofErr w:type="spellStart"/>
      <w:r w:rsidRPr="00CD29B7">
        <w:rPr>
          <w:rFonts w:ascii="Verdana" w:eastAsia="Times New Roman" w:hAnsi="Verdana" w:cs="Times New Roman"/>
          <w:color w:val="000000"/>
        </w:rPr>
        <w:t>harmonised</w:t>
      </w:r>
      <w:proofErr w:type="spellEnd"/>
      <w:r w:rsidRPr="00CD29B7">
        <w:rPr>
          <w:rFonts w:ascii="Verdana" w:eastAsia="Times New Roman" w:hAnsi="Verdana" w:cs="Times New Roman"/>
          <w:color w:val="000000"/>
        </w:rPr>
        <w:t xml:space="preserve"> EU approach in addressing the problems of medicines’ availability issues. Its mission is to develop and coordinate actions for better prevention, identification, management of and communication on issues that can affect the availability of medicines, in order to improve continuity of supply of human and veterinary medicines across Europe.</w:t>
      </w:r>
    </w:p>
    <w:p w14:paraId="1BDC470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12377"/>
    <w:multiLevelType w:val="multilevel"/>
    <w:tmpl w:val="90A6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3DB"/>
    <w:rsid w:val="0040081F"/>
    <w:rsid w:val="00453EED"/>
    <w:rsid w:val="00BE080D"/>
    <w:rsid w:val="00CC03DB"/>
    <w:rsid w:val="00CD2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0A5BD8"/>
  <w14:defaultImageDpi w14:val="32767"/>
  <w15:chartTrackingRefBased/>
  <w15:docId w15:val="{8E98B41C-ABC4-AC41-A871-D50B41120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D29B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9B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D29B7"/>
  </w:style>
  <w:style w:type="character" w:customStyle="1" w:styleId="date-display-single">
    <w:name w:val="date-display-single"/>
    <w:basedOn w:val="DefaultParagraphFont"/>
    <w:rsid w:val="00CD29B7"/>
  </w:style>
  <w:style w:type="paragraph" w:styleId="NormalWeb">
    <w:name w:val="Normal (Web)"/>
    <w:basedOn w:val="Normal"/>
    <w:uiPriority w:val="99"/>
    <w:semiHidden/>
    <w:unhideWhenUsed/>
    <w:rsid w:val="00CD29B7"/>
    <w:pPr>
      <w:spacing w:before="100" w:beforeAutospacing="1" w:after="100" w:afterAutospacing="1"/>
    </w:pPr>
    <w:rPr>
      <w:rFonts w:ascii="Times New Roman" w:eastAsia="Times New Roman" w:hAnsi="Times New Roman" w:cs="Times New Roman"/>
    </w:rPr>
  </w:style>
  <w:style w:type="character" w:customStyle="1" w:styleId="file">
    <w:name w:val="file"/>
    <w:basedOn w:val="DefaultParagraphFont"/>
    <w:rsid w:val="00CD29B7"/>
  </w:style>
  <w:style w:type="character" w:styleId="Hyperlink">
    <w:name w:val="Hyperlink"/>
    <w:basedOn w:val="DefaultParagraphFont"/>
    <w:uiPriority w:val="99"/>
    <w:semiHidden/>
    <w:unhideWhenUsed/>
    <w:rsid w:val="00CD29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3633">
      <w:bodyDiv w:val="1"/>
      <w:marLeft w:val="0"/>
      <w:marRight w:val="0"/>
      <w:marTop w:val="0"/>
      <w:marBottom w:val="0"/>
      <w:divBdr>
        <w:top w:val="none" w:sz="0" w:space="0" w:color="auto"/>
        <w:left w:val="none" w:sz="0" w:space="0" w:color="auto"/>
        <w:bottom w:val="none" w:sz="0" w:space="0" w:color="auto"/>
        <w:right w:val="none" w:sz="0" w:space="0" w:color="auto"/>
      </w:divBdr>
      <w:divsChild>
        <w:div w:id="719279474">
          <w:marLeft w:val="0"/>
          <w:marRight w:val="0"/>
          <w:marTop w:val="0"/>
          <w:marBottom w:val="0"/>
          <w:divBdr>
            <w:top w:val="none" w:sz="0" w:space="0" w:color="auto"/>
            <w:left w:val="none" w:sz="0" w:space="0" w:color="auto"/>
            <w:bottom w:val="none" w:sz="0" w:space="0" w:color="auto"/>
            <w:right w:val="none" w:sz="0" w:space="0" w:color="auto"/>
          </w:divBdr>
          <w:divsChild>
            <w:div w:id="1911962155">
              <w:marLeft w:val="0"/>
              <w:marRight w:val="0"/>
              <w:marTop w:val="0"/>
              <w:marBottom w:val="0"/>
              <w:divBdr>
                <w:top w:val="none" w:sz="0" w:space="0" w:color="auto"/>
                <w:left w:val="none" w:sz="0" w:space="0" w:color="auto"/>
                <w:bottom w:val="none" w:sz="0" w:space="0" w:color="auto"/>
                <w:right w:val="none" w:sz="0" w:space="0" w:color="auto"/>
              </w:divBdr>
            </w:div>
          </w:divsChild>
        </w:div>
        <w:div w:id="117572603">
          <w:marLeft w:val="0"/>
          <w:marRight w:val="0"/>
          <w:marTop w:val="0"/>
          <w:marBottom w:val="0"/>
          <w:divBdr>
            <w:top w:val="none" w:sz="0" w:space="0" w:color="auto"/>
            <w:left w:val="none" w:sz="0" w:space="0" w:color="auto"/>
            <w:bottom w:val="none" w:sz="0" w:space="0" w:color="auto"/>
            <w:right w:val="none" w:sz="0" w:space="0" w:color="auto"/>
          </w:divBdr>
        </w:div>
        <w:div w:id="803811098">
          <w:marLeft w:val="0"/>
          <w:marRight w:val="0"/>
          <w:marTop w:val="0"/>
          <w:marBottom w:val="0"/>
          <w:divBdr>
            <w:top w:val="none" w:sz="0" w:space="0" w:color="auto"/>
            <w:left w:val="none" w:sz="0" w:space="0" w:color="auto"/>
            <w:bottom w:val="none" w:sz="0" w:space="0" w:color="auto"/>
            <w:right w:val="none" w:sz="0" w:space="0" w:color="auto"/>
          </w:divBdr>
          <w:divsChild>
            <w:div w:id="1166941084">
              <w:marLeft w:val="0"/>
              <w:marRight w:val="0"/>
              <w:marTop w:val="0"/>
              <w:marBottom w:val="0"/>
              <w:divBdr>
                <w:top w:val="none" w:sz="0" w:space="0" w:color="auto"/>
                <w:left w:val="none" w:sz="0" w:space="0" w:color="auto"/>
                <w:bottom w:val="none" w:sz="0" w:space="0" w:color="auto"/>
                <w:right w:val="none" w:sz="0" w:space="0" w:color="auto"/>
              </w:divBdr>
              <w:divsChild>
                <w:div w:id="189685728">
                  <w:marLeft w:val="0"/>
                  <w:marRight w:val="0"/>
                  <w:marTop w:val="0"/>
                  <w:marBottom w:val="0"/>
                  <w:divBdr>
                    <w:top w:val="none" w:sz="0" w:space="0" w:color="auto"/>
                    <w:left w:val="none" w:sz="0" w:space="0" w:color="auto"/>
                    <w:bottom w:val="none" w:sz="0" w:space="0" w:color="auto"/>
                    <w:right w:val="none" w:sz="0" w:space="0" w:color="auto"/>
                  </w:divBdr>
                  <w:divsChild>
                    <w:div w:id="1707946301">
                      <w:marLeft w:val="0"/>
                      <w:marRight w:val="0"/>
                      <w:marTop w:val="0"/>
                      <w:marBottom w:val="0"/>
                      <w:divBdr>
                        <w:top w:val="none" w:sz="0" w:space="0" w:color="auto"/>
                        <w:left w:val="none" w:sz="0" w:space="0" w:color="auto"/>
                        <w:bottom w:val="none" w:sz="0" w:space="0" w:color="auto"/>
                        <w:right w:val="none" w:sz="0" w:space="0" w:color="auto"/>
                      </w:divBdr>
                      <w:divsChild>
                        <w:div w:id="623316559">
                          <w:marLeft w:val="0"/>
                          <w:marRight w:val="0"/>
                          <w:marTop w:val="0"/>
                          <w:marBottom w:val="0"/>
                          <w:divBdr>
                            <w:top w:val="none" w:sz="0" w:space="0" w:color="auto"/>
                            <w:left w:val="none" w:sz="0" w:space="0" w:color="auto"/>
                            <w:bottom w:val="none" w:sz="0" w:space="0" w:color="auto"/>
                            <w:right w:val="none" w:sz="0" w:space="0" w:color="auto"/>
                          </w:divBdr>
                          <w:divsChild>
                            <w:div w:id="1931817214">
                              <w:marLeft w:val="0"/>
                              <w:marRight w:val="0"/>
                              <w:marTop w:val="0"/>
                              <w:marBottom w:val="0"/>
                              <w:divBdr>
                                <w:top w:val="none" w:sz="0" w:space="0" w:color="auto"/>
                                <w:left w:val="none" w:sz="0" w:space="0" w:color="auto"/>
                                <w:bottom w:val="none" w:sz="0" w:space="0" w:color="auto"/>
                                <w:right w:val="none" w:sz="0" w:space="0" w:color="auto"/>
                              </w:divBdr>
                              <w:divsChild>
                                <w:div w:id="1923100421">
                                  <w:marLeft w:val="0"/>
                                  <w:marRight w:val="0"/>
                                  <w:marTop w:val="0"/>
                                  <w:marBottom w:val="0"/>
                                  <w:divBdr>
                                    <w:top w:val="none" w:sz="0" w:space="0" w:color="auto"/>
                                    <w:left w:val="none" w:sz="0" w:space="0" w:color="auto"/>
                                    <w:bottom w:val="none" w:sz="0" w:space="0" w:color="auto"/>
                                    <w:right w:val="none" w:sz="0" w:space="0" w:color="auto"/>
                                  </w:divBdr>
                                  <w:divsChild>
                                    <w:div w:id="10478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news/towards-improving-availability-medicines-e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ma.europa.eu/en/glossary/national-competent-authority" TargetMode="External"/><Relationship Id="rId12" Type="http://schemas.openxmlformats.org/officeDocument/2006/relationships/hyperlink" Target="https://www.ema.europa.eu/en/glossary/mutual-recog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a.europa.eu/documents/regulatory-procedural-guideline/good-practice-guidance-communication-public-medicines-availability-issues_en.pdf" TargetMode="External"/><Relationship Id="rId11" Type="http://schemas.openxmlformats.org/officeDocument/2006/relationships/hyperlink" Target="https://www.ema.europa.eu/en/glossary/national-competent-authority" TargetMode="External"/><Relationship Id="rId5" Type="http://schemas.openxmlformats.org/officeDocument/2006/relationships/hyperlink" Target="https://www.ema.europa.eu/documents/regulatory-procedural-guideline/guidance-detection-notification-shortages-medicinal-products-marketing-authorisation-holders-mahs_en.pdf" TargetMode="External"/><Relationship Id="rId10" Type="http://schemas.openxmlformats.org/officeDocument/2006/relationships/hyperlink" Target="https://www.ema.europa.eu/en/glossary/heads-medicines-agencies" TargetMode="External"/><Relationship Id="rId4" Type="http://schemas.openxmlformats.org/officeDocument/2006/relationships/webSettings" Target="webSettings.xml"/><Relationship Id="rId9" Type="http://schemas.openxmlformats.org/officeDocument/2006/relationships/hyperlink" Target="https://www.ema.europa.eu/documents/work-programme/work-programme-hma/ema-task-force-availability-authorised-medicines-human-veterinary-use_e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1068</Words>
  <Characters>6093</Characters>
  <Application>Microsoft Office Word</Application>
  <DocSecurity>0</DocSecurity>
  <Lines>50</Lines>
  <Paragraphs>14</Paragraphs>
  <ScaleCrop>false</ScaleCrop>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2020-02-18T12:59:00Z</dcterms:created>
  <dcterms:modified xsi:type="dcterms:W3CDTF">2020-05-11T10:13:00Z</dcterms:modified>
</cp:coreProperties>
</file>