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E139C" w14:textId="77777777" w:rsidR="00983AA0" w:rsidRPr="00983AA0" w:rsidRDefault="00983AA0" w:rsidP="00983AA0">
      <w:pPr>
        <w:outlineLvl w:val="0"/>
        <w:rPr>
          <w:rFonts w:ascii="Verdana" w:eastAsia="Times New Roman" w:hAnsi="Verdana" w:cs="Times New Roman"/>
          <w:color w:val="000000"/>
          <w:kern w:val="36"/>
          <w:sz w:val="48"/>
          <w:szCs w:val="48"/>
        </w:rPr>
      </w:pPr>
      <w:r w:rsidRPr="00983AA0">
        <w:rPr>
          <w:rFonts w:ascii="Verdana" w:eastAsia="Times New Roman" w:hAnsi="Verdana" w:cs="Times New Roman"/>
          <w:color w:val="000000"/>
          <w:kern w:val="36"/>
          <w:sz w:val="48"/>
          <w:szCs w:val="48"/>
        </w:rPr>
        <w:t>Regulators’ advice can make a difference for faster patient access to highly innovative therapies </w:t>
      </w:r>
    </w:p>
    <w:p w14:paraId="39533704" w14:textId="77777777" w:rsidR="00983AA0" w:rsidRPr="00983AA0" w:rsidRDefault="00983AA0" w:rsidP="00983AA0">
      <w:pPr>
        <w:rPr>
          <w:rFonts w:ascii="Verdana" w:eastAsia="Times New Roman" w:hAnsi="Verdana" w:cs="Times New Roman"/>
          <w:color w:val="000000"/>
        </w:rPr>
      </w:pPr>
      <w:r w:rsidRPr="00983AA0">
        <w:rPr>
          <w:rFonts w:ascii="Verdana" w:eastAsia="Times New Roman" w:hAnsi="Verdana" w:cs="Times New Roman"/>
          <w:color w:val="000000"/>
        </w:rPr>
        <w:t>Share</w:t>
      </w:r>
    </w:p>
    <w:p w14:paraId="48726B25" w14:textId="77777777" w:rsidR="00983AA0" w:rsidRPr="00983AA0" w:rsidRDefault="00983AA0" w:rsidP="00983AA0">
      <w:pPr>
        <w:rPr>
          <w:rFonts w:ascii="Verdana" w:eastAsia="Times New Roman" w:hAnsi="Verdana" w:cs="Times New Roman"/>
          <w:color w:val="000000"/>
        </w:rPr>
      </w:pPr>
      <w:r w:rsidRPr="00983AA0">
        <w:rPr>
          <w:rFonts w:ascii="Verdana" w:eastAsia="Times New Roman" w:hAnsi="Verdana" w:cs="Times New Roman"/>
          <w:color w:val="000000"/>
        </w:rPr>
        <w:t>News 12/11/2019</w:t>
      </w:r>
    </w:p>
    <w:p w14:paraId="68854A59" w14:textId="77777777" w:rsidR="00983AA0" w:rsidRPr="00983AA0" w:rsidRDefault="00983AA0" w:rsidP="00983AA0">
      <w:pPr>
        <w:spacing w:beforeAutospacing="1" w:afterAutospacing="1"/>
        <w:rPr>
          <w:rFonts w:ascii="Verdana" w:eastAsia="Times New Roman" w:hAnsi="Verdana" w:cs="Times New Roman"/>
          <w:color w:val="000000"/>
        </w:rPr>
      </w:pPr>
      <w:r w:rsidRPr="00ED5999">
        <w:rPr>
          <w:rFonts w:ascii="Verdana" w:eastAsia="Times New Roman" w:hAnsi="Verdana" w:cs="Times New Roman"/>
          <w:color w:val="000000"/>
          <w:highlight w:val="lightGray"/>
        </w:rPr>
        <w:t>Early dialogue and frequent interactions between medicine developers, regulators, </w:t>
      </w:r>
      <w:hyperlink r:id="rId4" w:tgtFrame="_self" w:history="1">
        <w:r w:rsidRPr="00ED5999">
          <w:rPr>
            <w:rFonts w:ascii="Verdana" w:eastAsia="Times New Roman" w:hAnsi="Verdana" w:cs="Times New Roman"/>
            <w:color w:val="75197C"/>
            <w:highlight w:val="lightGray"/>
            <w:u w:val="single"/>
          </w:rPr>
          <w:t>health technology assessment bodies (HTAs)</w:t>
        </w:r>
      </w:hyperlink>
      <w:r w:rsidRPr="00ED5999">
        <w:rPr>
          <w:rFonts w:ascii="Verdana" w:eastAsia="Times New Roman" w:hAnsi="Verdana" w:cs="Times New Roman"/>
          <w:color w:val="000000"/>
          <w:highlight w:val="lightGray"/>
        </w:rPr>
        <w:t> and patients can play a key role in delivering robust data needed to enable accelerated access of patients to highly innovative therapies that address unmet medical needs. The chair of </w:t>
      </w:r>
      <w:hyperlink r:id="rId5" w:tgtFrame="_self" w:history="1">
        <w:r w:rsidRPr="00ED5999">
          <w:rPr>
            <w:rFonts w:ascii="Verdana" w:eastAsia="Times New Roman" w:hAnsi="Verdana" w:cs="Times New Roman"/>
            <w:color w:val="75197C"/>
            <w:highlight w:val="lightGray"/>
            <w:u w:val="single"/>
          </w:rPr>
          <w:t>EMA’s committee for advanced therapies (CAT)</w:t>
        </w:r>
      </w:hyperlink>
      <w:r w:rsidRPr="00ED5999">
        <w:rPr>
          <w:rFonts w:ascii="Verdana" w:eastAsia="Times New Roman" w:hAnsi="Verdana" w:cs="Times New Roman"/>
          <w:color w:val="000000"/>
          <w:highlight w:val="lightGray"/>
        </w:rPr>
        <w:t>, Martina Schussler-Lenz, the chair of </w:t>
      </w:r>
      <w:hyperlink r:id="rId6" w:tgtFrame="_self" w:history="1">
        <w:r w:rsidRPr="00ED5999">
          <w:rPr>
            <w:rFonts w:ascii="Verdana" w:eastAsia="Times New Roman" w:hAnsi="Verdana" w:cs="Times New Roman"/>
            <w:color w:val="75197C"/>
            <w:highlight w:val="lightGray"/>
            <w:u w:val="single"/>
          </w:rPr>
          <w:t>EMA’s human medicines committee (CHMP)</w:t>
        </w:r>
      </w:hyperlink>
      <w:r w:rsidRPr="00ED5999">
        <w:rPr>
          <w:rFonts w:ascii="Verdana" w:eastAsia="Times New Roman" w:hAnsi="Verdana" w:cs="Times New Roman"/>
          <w:color w:val="000000"/>
          <w:highlight w:val="lightGray"/>
        </w:rPr>
        <w:t xml:space="preserve">, Harald </w:t>
      </w:r>
      <w:proofErr w:type="spellStart"/>
      <w:r w:rsidRPr="00ED5999">
        <w:rPr>
          <w:rFonts w:ascii="Verdana" w:eastAsia="Times New Roman" w:hAnsi="Verdana" w:cs="Times New Roman"/>
          <w:color w:val="000000"/>
          <w:highlight w:val="lightGray"/>
        </w:rPr>
        <w:t>Enzmann</w:t>
      </w:r>
      <w:proofErr w:type="spellEnd"/>
      <w:r w:rsidRPr="00ED5999">
        <w:rPr>
          <w:rFonts w:ascii="Verdana" w:eastAsia="Times New Roman" w:hAnsi="Verdana" w:cs="Times New Roman"/>
          <w:color w:val="000000"/>
          <w:highlight w:val="lightGray"/>
        </w:rPr>
        <w:t>, and the head of EMA’s </w:t>
      </w:r>
      <w:hyperlink r:id="rId7"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ED5999">
          <w:rPr>
            <w:rFonts w:ascii="Verdana" w:eastAsia="Times New Roman" w:hAnsi="Verdana" w:cs="Times New Roman"/>
            <w:color w:val="000000"/>
            <w:highlight w:val="lightGray"/>
            <w:u w:val="single"/>
          </w:rPr>
          <w:t>scientific advice</w:t>
        </w:r>
      </w:hyperlink>
      <w:r w:rsidRPr="00ED5999">
        <w:rPr>
          <w:rFonts w:ascii="Verdana" w:eastAsia="Times New Roman" w:hAnsi="Verdana" w:cs="Times New Roman"/>
          <w:color w:val="000000"/>
          <w:highlight w:val="lightGray"/>
        </w:rPr>
        <w:t xml:space="preserve"> office, Spiros </w:t>
      </w:r>
      <w:proofErr w:type="spellStart"/>
      <w:r w:rsidRPr="00ED5999">
        <w:rPr>
          <w:rFonts w:ascii="Verdana" w:eastAsia="Times New Roman" w:hAnsi="Verdana" w:cs="Times New Roman"/>
          <w:color w:val="000000"/>
          <w:highlight w:val="lightGray"/>
        </w:rPr>
        <w:t>Vamvakas</w:t>
      </w:r>
      <w:proofErr w:type="spellEnd"/>
      <w:r w:rsidRPr="00ED5999">
        <w:rPr>
          <w:rFonts w:ascii="Verdana" w:eastAsia="Times New Roman" w:hAnsi="Verdana" w:cs="Times New Roman"/>
          <w:color w:val="000000"/>
          <w:highlight w:val="lightGray"/>
        </w:rPr>
        <w:t xml:space="preserve"> describe these interactions through the example of the recent </w:t>
      </w:r>
      <w:proofErr w:type="spellStart"/>
      <w:r w:rsidRPr="00ED5999">
        <w:rPr>
          <w:rFonts w:ascii="Verdana" w:eastAsia="Times New Roman" w:hAnsi="Verdana" w:cs="Times New Roman"/>
          <w:color w:val="000000"/>
          <w:highlight w:val="lightGray"/>
        </w:rPr>
        <w:t>authorisation</w:t>
      </w:r>
      <w:proofErr w:type="spellEnd"/>
      <w:r w:rsidRPr="00ED5999">
        <w:rPr>
          <w:rFonts w:ascii="Verdana" w:eastAsia="Times New Roman" w:hAnsi="Verdana" w:cs="Times New Roman"/>
          <w:color w:val="000000"/>
          <w:highlight w:val="lightGray"/>
        </w:rPr>
        <w:t xml:space="preserve"> of </w:t>
      </w:r>
      <w:proofErr w:type="spellStart"/>
      <w:r w:rsidR="00ED5999" w:rsidRPr="00ED5999">
        <w:rPr>
          <w:highlight w:val="lightGray"/>
        </w:rPr>
        <w:fldChar w:fldCharType="begin"/>
      </w:r>
      <w:r w:rsidR="00ED5999" w:rsidRPr="00ED5999">
        <w:rPr>
          <w:highlight w:val="lightGray"/>
        </w:rPr>
        <w:instrText xml:space="preserve"> HYPERLINK "https://www.ema.europa.eu/en/medicines/human/EPAR/zynteglo" \t "_self" </w:instrText>
      </w:r>
      <w:r w:rsidR="00ED5999" w:rsidRPr="00ED5999">
        <w:rPr>
          <w:highlight w:val="lightGray"/>
        </w:rPr>
        <w:fldChar w:fldCharType="separate"/>
      </w:r>
      <w:r w:rsidRPr="00ED5999">
        <w:rPr>
          <w:rFonts w:ascii="Verdana" w:eastAsia="Times New Roman" w:hAnsi="Verdana" w:cs="Times New Roman"/>
          <w:color w:val="75197C"/>
          <w:highlight w:val="lightGray"/>
          <w:u w:val="single"/>
        </w:rPr>
        <w:t>Zynteglo</w:t>
      </w:r>
      <w:proofErr w:type="spellEnd"/>
      <w:r w:rsidR="00ED5999" w:rsidRPr="00ED5999">
        <w:rPr>
          <w:rFonts w:ascii="Verdana" w:eastAsia="Times New Roman" w:hAnsi="Verdana" w:cs="Times New Roman"/>
          <w:color w:val="75197C"/>
          <w:highlight w:val="lightGray"/>
          <w:u w:val="single"/>
        </w:rPr>
        <w:fldChar w:fldCharType="end"/>
      </w:r>
      <w:r w:rsidRPr="00ED5999">
        <w:rPr>
          <w:rFonts w:ascii="Verdana" w:eastAsia="Times New Roman" w:hAnsi="Verdana" w:cs="Times New Roman"/>
          <w:color w:val="000000"/>
          <w:highlight w:val="lightGray"/>
        </w:rPr>
        <w:t> (</w:t>
      </w:r>
      <w:proofErr w:type="spellStart"/>
      <w:r w:rsidRPr="00ED5999">
        <w:rPr>
          <w:rFonts w:ascii="Verdana" w:eastAsia="Times New Roman" w:hAnsi="Verdana" w:cs="Times New Roman"/>
          <w:color w:val="000000"/>
          <w:highlight w:val="lightGray"/>
        </w:rPr>
        <w:t>lentiglobin</w:t>
      </w:r>
      <w:proofErr w:type="spellEnd"/>
      <w:r w:rsidRPr="00ED5999">
        <w:rPr>
          <w:rFonts w:ascii="Verdana" w:eastAsia="Times New Roman" w:hAnsi="Verdana" w:cs="Times New Roman"/>
          <w:color w:val="000000"/>
          <w:highlight w:val="lightGray"/>
        </w:rPr>
        <w:t>) in a </w:t>
      </w:r>
      <w:hyperlink r:id="rId8" w:tgtFrame="_blank" w:history="1">
        <w:r w:rsidRPr="00ED5999">
          <w:rPr>
            <w:rFonts w:ascii="Verdana" w:eastAsia="Times New Roman" w:hAnsi="Verdana" w:cs="Times New Roman"/>
            <w:color w:val="75197C"/>
            <w:highlight w:val="lightGray"/>
            <w:u w:val="single"/>
          </w:rPr>
          <w:t>perspective piece published in Clinical Pharmacology &amp; Therapeutics</w:t>
        </w:r>
      </w:hyperlink>
      <w:r w:rsidRPr="00ED5999">
        <w:rPr>
          <w:rFonts w:ascii="Verdana" w:eastAsia="Times New Roman" w:hAnsi="Verdana" w:cs="Times New Roman"/>
          <w:color w:val="000000"/>
          <w:highlight w:val="lightGray"/>
        </w:rPr>
        <w:t>.</w:t>
      </w:r>
    </w:p>
    <w:p w14:paraId="5C82255A" w14:textId="77777777" w:rsidR="00983AA0" w:rsidRPr="00983AA0" w:rsidRDefault="00983AA0" w:rsidP="00983AA0">
      <w:pPr>
        <w:spacing w:before="100" w:beforeAutospacing="1" w:after="100" w:afterAutospacing="1"/>
        <w:rPr>
          <w:rFonts w:ascii="Verdana" w:eastAsia="Times New Roman" w:hAnsi="Verdana" w:cs="Times New Roman"/>
          <w:color w:val="000000"/>
        </w:rPr>
      </w:pPr>
      <w:proofErr w:type="spellStart"/>
      <w:r w:rsidRPr="00ED5999">
        <w:rPr>
          <w:rFonts w:ascii="Verdana" w:eastAsia="Times New Roman" w:hAnsi="Verdana" w:cs="Times New Roman"/>
          <w:color w:val="000000"/>
          <w:highlight w:val="darkGray"/>
        </w:rPr>
        <w:t>Zynteglo</w:t>
      </w:r>
      <w:proofErr w:type="spellEnd"/>
      <w:r w:rsidRPr="00ED5999">
        <w:rPr>
          <w:rFonts w:ascii="Verdana" w:eastAsia="Times New Roman" w:hAnsi="Verdana" w:cs="Times New Roman"/>
          <w:color w:val="000000"/>
          <w:highlight w:val="darkGray"/>
        </w:rPr>
        <w:t xml:space="preserve"> is a gene therapy for the treatment of patients with beta-thalassemia, a rare inherited blood condition that causes severe </w:t>
      </w:r>
      <w:proofErr w:type="spellStart"/>
      <w:r w:rsidRPr="00ED5999">
        <w:rPr>
          <w:rFonts w:ascii="Verdana" w:eastAsia="Times New Roman" w:hAnsi="Verdana" w:cs="Times New Roman"/>
          <w:color w:val="000000"/>
          <w:highlight w:val="darkGray"/>
        </w:rPr>
        <w:t>anaemia</w:t>
      </w:r>
      <w:proofErr w:type="spellEnd"/>
      <w:r w:rsidRPr="00ED5999">
        <w:rPr>
          <w:rFonts w:ascii="Verdana" w:eastAsia="Times New Roman" w:hAnsi="Verdana" w:cs="Times New Roman"/>
          <w:color w:val="000000"/>
          <w:highlight w:val="darkGray"/>
        </w:rPr>
        <w:t xml:space="preserve">. Some patients can be cured through a stem cell transplant from a healthy donor. However, patients who have no matched family donor miss out. For them, </w:t>
      </w:r>
      <w:proofErr w:type="spellStart"/>
      <w:r w:rsidRPr="00ED5999">
        <w:rPr>
          <w:rFonts w:ascii="Verdana" w:eastAsia="Times New Roman" w:hAnsi="Verdana" w:cs="Times New Roman"/>
          <w:color w:val="000000"/>
          <w:highlight w:val="darkGray"/>
        </w:rPr>
        <w:t>Zynteglo</w:t>
      </w:r>
      <w:proofErr w:type="spellEnd"/>
      <w:r w:rsidRPr="00ED5999">
        <w:rPr>
          <w:rFonts w:ascii="Verdana" w:eastAsia="Times New Roman" w:hAnsi="Verdana" w:cs="Times New Roman"/>
          <w:color w:val="000000"/>
          <w:highlight w:val="darkGray"/>
        </w:rPr>
        <w:t xml:space="preserve"> could be a game changer. Using a lentiviral viral vector, it adds functional copies of a modified β-globin gene into a patient’s own stem cells, thereby addressing the underlying genetic cause of the disease.</w:t>
      </w:r>
    </w:p>
    <w:p w14:paraId="07DFD28D" w14:textId="77777777" w:rsidR="00983AA0" w:rsidRPr="00983AA0" w:rsidRDefault="00983AA0" w:rsidP="00983AA0">
      <w:pPr>
        <w:spacing w:before="100" w:beforeAutospacing="1" w:after="100" w:afterAutospacing="1"/>
        <w:rPr>
          <w:rFonts w:ascii="Verdana" w:eastAsia="Times New Roman" w:hAnsi="Verdana" w:cs="Times New Roman"/>
          <w:color w:val="000000"/>
        </w:rPr>
      </w:pPr>
      <w:r w:rsidRPr="00ED5999">
        <w:rPr>
          <w:rFonts w:ascii="Verdana" w:eastAsia="Times New Roman" w:hAnsi="Verdana" w:cs="Times New Roman"/>
          <w:color w:val="000000"/>
          <w:highlight w:val="lightGray"/>
        </w:rPr>
        <w:t xml:space="preserve">Groundbreaking therapies such as </w:t>
      </w:r>
      <w:proofErr w:type="spellStart"/>
      <w:r w:rsidRPr="00ED5999">
        <w:rPr>
          <w:rFonts w:ascii="Verdana" w:eastAsia="Times New Roman" w:hAnsi="Verdana" w:cs="Times New Roman"/>
          <w:color w:val="000000"/>
          <w:highlight w:val="lightGray"/>
        </w:rPr>
        <w:t>Zynteglo</w:t>
      </w:r>
      <w:proofErr w:type="spellEnd"/>
      <w:r w:rsidRPr="00ED5999">
        <w:rPr>
          <w:rFonts w:ascii="Verdana" w:eastAsia="Times New Roman" w:hAnsi="Verdana" w:cs="Times New Roman"/>
          <w:color w:val="000000"/>
          <w:highlight w:val="lightGray"/>
        </w:rPr>
        <w:t xml:space="preserve"> present specific challenges for those who assess their benefits and risks for the initial </w:t>
      </w:r>
      <w:proofErr w:type="spellStart"/>
      <w:r w:rsidRPr="00ED5999">
        <w:rPr>
          <w:rFonts w:ascii="Verdana" w:eastAsia="Times New Roman" w:hAnsi="Verdana" w:cs="Times New Roman"/>
          <w:color w:val="000000"/>
          <w:highlight w:val="lightGray"/>
        </w:rPr>
        <w:t>authorisation</w:t>
      </w:r>
      <w:proofErr w:type="spellEnd"/>
      <w:r w:rsidRPr="00ED5999">
        <w:rPr>
          <w:rFonts w:ascii="Verdana" w:eastAsia="Times New Roman" w:hAnsi="Verdana" w:cs="Times New Roman"/>
          <w:color w:val="000000"/>
          <w:highlight w:val="lightGray"/>
        </w:rPr>
        <w:t xml:space="preserve"> and those who assess their value as a basis for pricing and reimbursement decisions. Continuous dialogue throughout the development of the medicine, without compromising the impartiality of the assessment at the marketing-</w:t>
      </w:r>
      <w:proofErr w:type="spellStart"/>
      <w:r w:rsidRPr="00ED5999">
        <w:rPr>
          <w:rFonts w:ascii="Verdana" w:eastAsia="Times New Roman" w:hAnsi="Verdana" w:cs="Times New Roman"/>
          <w:color w:val="000000"/>
          <w:highlight w:val="lightGray"/>
        </w:rPr>
        <w:t>authorisation</w:t>
      </w:r>
      <w:proofErr w:type="spellEnd"/>
      <w:r w:rsidRPr="00ED5999">
        <w:rPr>
          <w:rFonts w:ascii="Verdana" w:eastAsia="Times New Roman" w:hAnsi="Verdana" w:cs="Times New Roman"/>
          <w:color w:val="000000"/>
          <w:highlight w:val="lightGray"/>
        </w:rPr>
        <w:t xml:space="preserve"> application stage, can help overcome these challenges.</w:t>
      </w:r>
    </w:p>
    <w:p w14:paraId="309D316F" w14:textId="77777777" w:rsidR="00983AA0" w:rsidRPr="00983AA0" w:rsidRDefault="00983AA0" w:rsidP="00983AA0">
      <w:pPr>
        <w:spacing w:beforeAutospacing="1" w:afterAutospacing="1"/>
        <w:rPr>
          <w:rFonts w:ascii="Verdana" w:eastAsia="Times New Roman" w:hAnsi="Verdana" w:cs="Times New Roman"/>
          <w:color w:val="000000"/>
        </w:rPr>
      </w:pPr>
      <w:bookmarkStart w:id="0" w:name="_GoBack"/>
      <w:bookmarkEnd w:id="0"/>
      <w:r w:rsidRPr="00636579">
        <w:rPr>
          <w:rFonts w:ascii="Verdana" w:eastAsia="Times New Roman" w:hAnsi="Verdana" w:cs="Times New Roman"/>
          <w:color w:val="000000"/>
          <w:highlight w:val="lightGray"/>
        </w:rPr>
        <w:t xml:space="preserve">In the case of </w:t>
      </w:r>
      <w:proofErr w:type="spellStart"/>
      <w:r w:rsidRPr="00636579">
        <w:rPr>
          <w:rFonts w:ascii="Verdana" w:eastAsia="Times New Roman" w:hAnsi="Verdana" w:cs="Times New Roman"/>
          <w:color w:val="000000"/>
          <w:highlight w:val="lightGray"/>
        </w:rPr>
        <w:t>Zynteglo</w:t>
      </w:r>
      <w:proofErr w:type="spellEnd"/>
      <w:r w:rsidRPr="00636579">
        <w:rPr>
          <w:rFonts w:ascii="Verdana" w:eastAsia="Times New Roman" w:hAnsi="Verdana" w:cs="Times New Roman"/>
          <w:color w:val="000000"/>
          <w:highlight w:val="lightGray"/>
        </w:rPr>
        <w:t>, the medicine benefited from </w:t>
      </w:r>
      <w:hyperlink r:id="rId9" w:tgtFrame="_self" w:history="1">
        <w:r w:rsidRPr="00636579">
          <w:rPr>
            <w:rFonts w:ascii="Verdana" w:eastAsia="Times New Roman" w:hAnsi="Verdana" w:cs="Times New Roman"/>
            <w:color w:val="75197C"/>
            <w:highlight w:val="lightGray"/>
            <w:u w:val="single"/>
          </w:rPr>
          <w:t>PRIME</w:t>
        </w:r>
      </w:hyperlink>
      <w:r w:rsidRPr="00636579">
        <w:rPr>
          <w:rFonts w:ascii="Verdana" w:eastAsia="Times New Roman" w:hAnsi="Verdana" w:cs="Times New Roman"/>
          <w:color w:val="000000"/>
          <w:highlight w:val="lightGray"/>
        </w:rPr>
        <w:t>, EMA’s platform for early and enhanced dialogue with developers of promising new medicines that address an unmet medical need and several interactions with EMA’s </w:t>
      </w:r>
      <w:hyperlink r:id="rId10"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636579">
          <w:rPr>
            <w:rFonts w:ascii="Verdana" w:eastAsia="Times New Roman" w:hAnsi="Verdana" w:cs="Times New Roman"/>
            <w:color w:val="000000"/>
            <w:highlight w:val="lightGray"/>
            <w:u w:val="single"/>
          </w:rPr>
          <w:t>scientific advice</w:t>
        </w:r>
      </w:hyperlink>
      <w:r w:rsidRPr="00636579">
        <w:rPr>
          <w:rFonts w:ascii="Verdana" w:eastAsia="Times New Roman" w:hAnsi="Verdana" w:cs="Times New Roman"/>
          <w:color w:val="000000"/>
          <w:highlight w:val="lightGray"/>
        </w:rPr>
        <w:t> office with input from patients’ representatives. These interactions led to a more robust application package to demonstrate the medicine’s benefits and risks, which allowed </w:t>
      </w:r>
      <w:hyperlink r:id="rId11" w:tgtFrame="_blank" w:tooltip="Rapid assessment of medicines in the centralised procedure that are of major interest for public health, especially ones that are therapeutic innovations. Accelerated assessment usually takes 150 evaluation days, rather than 210. &#13; &#13; More information can be found under 'Accelerated assessment'." w:history="1">
        <w:r w:rsidRPr="00636579">
          <w:rPr>
            <w:rFonts w:ascii="Verdana" w:eastAsia="Times New Roman" w:hAnsi="Verdana" w:cs="Times New Roman"/>
            <w:color w:val="000000"/>
            <w:highlight w:val="lightGray"/>
            <w:u w:val="single"/>
          </w:rPr>
          <w:t>accelerated assessment</w:t>
        </w:r>
      </w:hyperlink>
      <w:r w:rsidRPr="00636579">
        <w:rPr>
          <w:rFonts w:ascii="Verdana" w:eastAsia="Times New Roman" w:hAnsi="Verdana" w:cs="Times New Roman"/>
          <w:color w:val="000000"/>
          <w:highlight w:val="lightGray"/>
        </w:rPr>
        <w:t xml:space="preserve">. In the article, the authors describe some of the specific clinical and manufacturing process issues which were identified and how these were overcome. They </w:t>
      </w:r>
      <w:r w:rsidRPr="00636579">
        <w:rPr>
          <w:rFonts w:ascii="Verdana" w:eastAsia="Times New Roman" w:hAnsi="Verdana" w:cs="Times New Roman"/>
          <w:color w:val="000000"/>
          <w:highlight w:val="lightGray"/>
        </w:rPr>
        <w:lastRenderedPageBreak/>
        <w:t>also show that early accelerated approvals are only possible if a robust post-approval plan is defined at </w:t>
      </w:r>
      <w:hyperlink r:id="rId12" w:tgtFrame="_blank" w:tooltip="The approval to market a medicine in one, several or all European Union Member States." w:history="1">
        <w:r w:rsidRPr="00636579">
          <w:rPr>
            <w:rFonts w:ascii="Verdana" w:eastAsia="Times New Roman" w:hAnsi="Verdana" w:cs="Times New Roman"/>
            <w:color w:val="000000"/>
            <w:highlight w:val="lightGray"/>
            <w:u w:val="single"/>
          </w:rPr>
          <w:t xml:space="preserve">marketing </w:t>
        </w:r>
        <w:proofErr w:type="spellStart"/>
        <w:r w:rsidRPr="00636579">
          <w:rPr>
            <w:rFonts w:ascii="Verdana" w:eastAsia="Times New Roman" w:hAnsi="Verdana" w:cs="Times New Roman"/>
            <w:color w:val="000000"/>
            <w:highlight w:val="lightGray"/>
            <w:u w:val="single"/>
          </w:rPr>
          <w:t>authorisation</w:t>
        </w:r>
        <w:proofErr w:type="spellEnd"/>
      </w:hyperlink>
      <w:r w:rsidRPr="00636579">
        <w:rPr>
          <w:rFonts w:ascii="Verdana" w:eastAsia="Times New Roman" w:hAnsi="Verdana" w:cs="Times New Roman"/>
          <w:color w:val="000000"/>
          <w:highlight w:val="lightGray"/>
        </w:rPr>
        <w:t> stage.</w:t>
      </w:r>
    </w:p>
    <w:p w14:paraId="197E2A5F" w14:textId="77777777" w:rsidR="00983AA0" w:rsidRPr="00983AA0" w:rsidRDefault="00983AA0" w:rsidP="00983AA0">
      <w:pPr>
        <w:spacing w:beforeAutospacing="1" w:afterAutospacing="1"/>
        <w:rPr>
          <w:rFonts w:ascii="Verdana" w:eastAsia="Times New Roman" w:hAnsi="Verdana" w:cs="Times New Roman"/>
          <w:color w:val="000000"/>
        </w:rPr>
      </w:pPr>
      <w:r w:rsidRPr="00983AA0">
        <w:rPr>
          <w:rFonts w:ascii="Verdana" w:eastAsia="Times New Roman" w:hAnsi="Verdana" w:cs="Times New Roman"/>
          <w:color w:val="000000"/>
        </w:rPr>
        <w:t>The </w:t>
      </w:r>
      <w:hyperlink r:id="rId13" w:tgtFrame="_blank" w:history="1">
        <w:r w:rsidRPr="00983AA0">
          <w:rPr>
            <w:rFonts w:ascii="Verdana" w:eastAsia="Times New Roman" w:hAnsi="Verdana" w:cs="Times New Roman"/>
            <w:color w:val="75197C"/>
            <w:u w:val="single"/>
          </w:rPr>
          <w:t>article</w:t>
        </w:r>
      </w:hyperlink>
      <w:r w:rsidRPr="00983AA0">
        <w:rPr>
          <w:rFonts w:ascii="Verdana" w:eastAsia="Times New Roman" w:hAnsi="Verdana" w:cs="Times New Roman"/>
          <w:color w:val="000000"/>
        </w:rPr>
        <w:t> is accessible in open access in Clinical Pharmacology &amp; Therapeutics.</w:t>
      </w:r>
    </w:p>
    <w:p w14:paraId="77D0B0E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91"/>
    <w:rsid w:val="00453EED"/>
    <w:rsid w:val="00636579"/>
    <w:rsid w:val="00983AA0"/>
    <w:rsid w:val="00A32891"/>
    <w:rsid w:val="00BE080D"/>
    <w:rsid w:val="00ED5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D4173"/>
  <w14:defaultImageDpi w14:val="32767"/>
  <w15:chartTrackingRefBased/>
  <w15:docId w15:val="{3D32D244-66C2-5847-8B7A-6ECEDB6A8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83AA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AA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83AA0"/>
  </w:style>
  <w:style w:type="character" w:customStyle="1" w:styleId="date-display-single">
    <w:name w:val="date-display-single"/>
    <w:basedOn w:val="DefaultParagraphFont"/>
    <w:rsid w:val="00983AA0"/>
  </w:style>
  <w:style w:type="paragraph" w:styleId="NormalWeb">
    <w:name w:val="Normal (Web)"/>
    <w:basedOn w:val="Normal"/>
    <w:uiPriority w:val="99"/>
    <w:semiHidden/>
    <w:unhideWhenUsed/>
    <w:rsid w:val="00983AA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83A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577503">
      <w:bodyDiv w:val="1"/>
      <w:marLeft w:val="0"/>
      <w:marRight w:val="0"/>
      <w:marTop w:val="0"/>
      <w:marBottom w:val="0"/>
      <w:divBdr>
        <w:top w:val="none" w:sz="0" w:space="0" w:color="auto"/>
        <w:left w:val="none" w:sz="0" w:space="0" w:color="auto"/>
        <w:bottom w:val="none" w:sz="0" w:space="0" w:color="auto"/>
        <w:right w:val="none" w:sz="0" w:space="0" w:color="auto"/>
      </w:divBdr>
      <w:divsChild>
        <w:div w:id="187913443">
          <w:marLeft w:val="0"/>
          <w:marRight w:val="0"/>
          <w:marTop w:val="0"/>
          <w:marBottom w:val="0"/>
          <w:divBdr>
            <w:top w:val="none" w:sz="0" w:space="0" w:color="auto"/>
            <w:left w:val="none" w:sz="0" w:space="0" w:color="auto"/>
            <w:bottom w:val="none" w:sz="0" w:space="0" w:color="auto"/>
            <w:right w:val="none" w:sz="0" w:space="0" w:color="auto"/>
          </w:divBdr>
          <w:divsChild>
            <w:div w:id="1867282074">
              <w:marLeft w:val="0"/>
              <w:marRight w:val="0"/>
              <w:marTop w:val="0"/>
              <w:marBottom w:val="0"/>
              <w:divBdr>
                <w:top w:val="none" w:sz="0" w:space="0" w:color="auto"/>
                <w:left w:val="none" w:sz="0" w:space="0" w:color="auto"/>
                <w:bottom w:val="none" w:sz="0" w:space="0" w:color="auto"/>
                <w:right w:val="none" w:sz="0" w:space="0" w:color="auto"/>
              </w:divBdr>
            </w:div>
          </w:divsChild>
        </w:div>
        <w:div w:id="639186196">
          <w:marLeft w:val="0"/>
          <w:marRight w:val="0"/>
          <w:marTop w:val="0"/>
          <w:marBottom w:val="0"/>
          <w:divBdr>
            <w:top w:val="none" w:sz="0" w:space="0" w:color="auto"/>
            <w:left w:val="none" w:sz="0" w:space="0" w:color="auto"/>
            <w:bottom w:val="none" w:sz="0" w:space="0" w:color="auto"/>
            <w:right w:val="none" w:sz="0" w:space="0" w:color="auto"/>
          </w:divBdr>
        </w:div>
        <w:div w:id="1998262489">
          <w:marLeft w:val="0"/>
          <w:marRight w:val="0"/>
          <w:marTop w:val="0"/>
          <w:marBottom w:val="0"/>
          <w:divBdr>
            <w:top w:val="none" w:sz="0" w:space="0" w:color="auto"/>
            <w:left w:val="none" w:sz="0" w:space="0" w:color="auto"/>
            <w:bottom w:val="none" w:sz="0" w:space="0" w:color="auto"/>
            <w:right w:val="none" w:sz="0" w:space="0" w:color="auto"/>
          </w:divBdr>
          <w:divsChild>
            <w:div w:id="1381325997">
              <w:marLeft w:val="0"/>
              <w:marRight w:val="0"/>
              <w:marTop w:val="0"/>
              <w:marBottom w:val="0"/>
              <w:divBdr>
                <w:top w:val="none" w:sz="0" w:space="0" w:color="auto"/>
                <w:left w:val="none" w:sz="0" w:space="0" w:color="auto"/>
                <w:bottom w:val="none" w:sz="0" w:space="0" w:color="auto"/>
                <w:right w:val="none" w:sz="0" w:space="0" w:color="auto"/>
              </w:divBdr>
              <w:divsChild>
                <w:div w:id="1554465131">
                  <w:marLeft w:val="0"/>
                  <w:marRight w:val="0"/>
                  <w:marTop w:val="0"/>
                  <w:marBottom w:val="0"/>
                  <w:divBdr>
                    <w:top w:val="none" w:sz="0" w:space="0" w:color="auto"/>
                    <w:left w:val="none" w:sz="0" w:space="0" w:color="auto"/>
                    <w:bottom w:val="none" w:sz="0" w:space="0" w:color="auto"/>
                    <w:right w:val="none" w:sz="0" w:space="0" w:color="auto"/>
                  </w:divBdr>
                  <w:divsChild>
                    <w:div w:id="300498737">
                      <w:marLeft w:val="0"/>
                      <w:marRight w:val="0"/>
                      <w:marTop w:val="0"/>
                      <w:marBottom w:val="0"/>
                      <w:divBdr>
                        <w:top w:val="none" w:sz="0" w:space="0" w:color="auto"/>
                        <w:left w:val="none" w:sz="0" w:space="0" w:color="auto"/>
                        <w:bottom w:val="none" w:sz="0" w:space="0" w:color="auto"/>
                        <w:right w:val="none" w:sz="0" w:space="0" w:color="auto"/>
                      </w:divBdr>
                      <w:divsChild>
                        <w:div w:id="759328015">
                          <w:marLeft w:val="0"/>
                          <w:marRight w:val="0"/>
                          <w:marTop w:val="0"/>
                          <w:marBottom w:val="0"/>
                          <w:divBdr>
                            <w:top w:val="none" w:sz="0" w:space="0" w:color="auto"/>
                            <w:left w:val="none" w:sz="0" w:space="0" w:color="auto"/>
                            <w:bottom w:val="none" w:sz="0" w:space="0" w:color="auto"/>
                            <w:right w:val="none" w:sz="0" w:space="0" w:color="auto"/>
                          </w:divBdr>
                          <w:divsChild>
                            <w:div w:id="237372090">
                              <w:marLeft w:val="0"/>
                              <w:marRight w:val="0"/>
                              <w:marTop w:val="0"/>
                              <w:marBottom w:val="0"/>
                              <w:divBdr>
                                <w:top w:val="none" w:sz="0" w:space="0" w:color="auto"/>
                                <w:left w:val="none" w:sz="0" w:space="0" w:color="auto"/>
                                <w:bottom w:val="none" w:sz="0" w:space="0" w:color="auto"/>
                                <w:right w:val="none" w:sz="0" w:space="0" w:color="auto"/>
                              </w:divBdr>
                              <w:divsChild>
                                <w:div w:id="955520902">
                                  <w:marLeft w:val="0"/>
                                  <w:marRight w:val="0"/>
                                  <w:marTop w:val="0"/>
                                  <w:marBottom w:val="0"/>
                                  <w:divBdr>
                                    <w:top w:val="none" w:sz="0" w:space="0" w:color="auto"/>
                                    <w:left w:val="none" w:sz="0" w:space="0" w:color="auto"/>
                                    <w:bottom w:val="none" w:sz="0" w:space="0" w:color="auto"/>
                                    <w:right w:val="none" w:sz="0" w:space="0" w:color="auto"/>
                                  </w:divBdr>
                                  <w:divsChild>
                                    <w:div w:id="13856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cpt.onlinelibrary.wiley.com/doi/full/10.1002/cpt.1639?af=R" TargetMode="External"/><Relationship Id="rId13" Type="http://schemas.openxmlformats.org/officeDocument/2006/relationships/hyperlink" Target="https://ascpt.onlinelibrary.wiley.com/doi/full/10.1002/cpt.1639?af=R" TargetMode="External"/><Relationship Id="rId3" Type="http://schemas.openxmlformats.org/officeDocument/2006/relationships/webSettings" Target="webSettings.xml"/><Relationship Id="rId7" Type="http://schemas.openxmlformats.org/officeDocument/2006/relationships/hyperlink" Target="https://www.ema.europa.eu/en/glossary/scientific-advice" TargetMode="External"/><Relationship Id="rId12" Type="http://schemas.openxmlformats.org/officeDocument/2006/relationships/hyperlink" Target="https://www.ema.europa.eu/en/glossary/marketing-authoris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committees/committee-medicinal-products-human-use-chmp" TargetMode="External"/><Relationship Id="rId11" Type="http://schemas.openxmlformats.org/officeDocument/2006/relationships/hyperlink" Target="https://www.ema.europa.eu/en/glossary/accelerated-assessment" TargetMode="External"/><Relationship Id="rId5" Type="http://schemas.openxmlformats.org/officeDocument/2006/relationships/hyperlink" Target="https://www.ema.europa.eu/en/committees/committee-advanced-therapies-cat" TargetMode="External"/><Relationship Id="rId15" Type="http://schemas.openxmlformats.org/officeDocument/2006/relationships/theme" Target="theme/theme1.xml"/><Relationship Id="rId10" Type="http://schemas.openxmlformats.org/officeDocument/2006/relationships/hyperlink" Target="https://www.ema.europa.eu/en/glossary/scientific-advice" TargetMode="External"/><Relationship Id="rId4" Type="http://schemas.openxmlformats.org/officeDocument/2006/relationships/hyperlink" Target="https://www.ema.europa.eu/en/partners-networks/health-technology-assessment-bodies" TargetMode="External"/><Relationship Id="rId9" Type="http://schemas.openxmlformats.org/officeDocument/2006/relationships/hyperlink" Target="https://www.ema.europa.eu/en/human-regulatory/research-development/prime-priority-medicin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2020-02-18T10:44:00Z</dcterms:created>
  <dcterms:modified xsi:type="dcterms:W3CDTF">2020-05-11T10:18:00Z</dcterms:modified>
</cp:coreProperties>
</file>