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04CF4" w14:textId="77777777" w:rsidR="008C6698" w:rsidRPr="008C6698" w:rsidRDefault="008C6698" w:rsidP="008C6698">
      <w:pPr>
        <w:outlineLvl w:val="0"/>
        <w:rPr>
          <w:rFonts w:ascii="Verdana" w:eastAsia="Times New Roman" w:hAnsi="Verdana" w:cs="Times New Roman"/>
          <w:color w:val="000000"/>
          <w:kern w:val="36"/>
          <w:sz w:val="48"/>
          <w:szCs w:val="48"/>
        </w:rPr>
      </w:pPr>
      <w:r w:rsidRPr="000B517D">
        <w:rPr>
          <w:rFonts w:ascii="Verdana" w:eastAsia="Times New Roman" w:hAnsi="Verdana" w:cs="Times New Roman"/>
          <w:color w:val="000000"/>
          <w:kern w:val="36"/>
          <w:sz w:val="48"/>
          <w:szCs w:val="48"/>
          <w:highlight w:val="lightGray"/>
        </w:rPr>
        <w:t>4-year overview of pharmacovigilance activities in the EU shows robust and effective medicines safety system</w:t>
      </w:r>
    </w:p>
    <w:p w14:paraId="5C451D2E" w14:textId="77777777" w:rsidR="008C6698" w:rsidRPr="008C6698" w:rsidRDefault="008C6698" w:rsidP="008C6698">
      <w:pPr>
        <w:rPr>
          <w:rFonts w:ascii="Times New Roman" w:eastAsia="Times New Roman" w:hAnsi="Times New Roman" w:cs="Times New Roman"/>
        </w:rPr>
      </w:pPr>
      <w:r w:rsidRPr="008C6698">
        <w:rPr>
          <w:rFonts w:ascii="Verdana" w:eastAsia="Times New Roman" w:hAnsi="Verdana" w:cs="Times New Roman"/>
          <w:color w:val="000000"/>
        </w:rPr>
        <w:t> </w:t>
      </w:r>
    </w:p>
    <w:p w14:paraId="627D672B" w14:textId="77777777" w:rsidR="008C6698" w:rsidRPr="008C6698" w:rsidRDefault="008C6698" w:rsidP="008C6698">
      <w:pPr>
        <w:rPr>
          <w:rFonts w:ascii="Verdana" w:eastAsia="Times New Roman" w:hAnsi="Verdana" w:cs="Times New Roman"/>
          <w:color w:val="000000"/>
        </w:rPr>
      </w:pPr>
      <w:r w:rsidRPr="008C6698">
        <w:rPr>
          <w:rFonts w:ascii="Verdana" w:eastAsia="Times New Roman" w:hAnsi="Verdana" w:cs="Times New Roman"/>
          <w:color w:val="000000"/>
        </w:rPr>
        <w:t>Share</w:t>
      </w:r>
    </w:p>
    <w:p w14:paraId="7FEBC751" w14:textId="77777777" w:rsidR="008C6698" w:rsidRPr="008C6698" w:rsidRDefault="008C6698" w:rsidP="008C6698">
      <w:pPr>
        <w:rPr>
          <w:rFonts w:ascii="Verdana" w:eastAsia="Times New Roman" w:hAnsi="Verdana" w:cs="Times New Roman"/>
          <w:color w:val="000000"/>
        </w:rPr>
      </w:pPr>
      <w:r w:rsidRPr="008C6698">
        <w:rPr>
          <w:rFonts w:ascii="Verdana" w:eastAsia="Times New Roman" w:hAnsi="Verdana" w:cs="Times New Roman"/>
          <w:color w:val="000000"/>
        </w:rPr>
        <w:t>Press release 17/12/2019</w:t>
      </w:r>
    </w:p>
    <w:p w14:paraId="134A6172" w14:textId="2CED4A02" w:rsidR="008C6698" w:rsidRPr="008C6698" w:rsidRDefault="008C6698" w:rsidP="008C6698">
      <w:pPr>
        <w:spacing w:beforeAutospacing="1" w:afterAutospacing="1"/>
        <w:rPr>
          <w:rFonts w:ascii="Verdana" w:eastAsia="Times New Roman" w:hAnsi="Verdana" w:cs="Times New Roman"/>
          <w:color w:val="000000"/>
        </w:rPr>
      </w:pPr>
      <w:r w:rsidRPr="00072378">
        <w:rPr>
          <w:rFonts w:ascii="Verdana" w:eastAsia="Times New Roman" w:hAnsi="Verdana" w:cs="Times New Roman"/>
          <w:color w:val="000000"/>
          <w:highlight w:val="lightGray"/>
        </w:rPr>
        <w:t>A report on the activities ensuring the safety of medicines carried out by EMA and the </w:t>
      </w:r>
      <w:hyperlink r:id="rId5" w:tgtFrame="_blank" w:tooltip="A medicines regulatory authority in a European Union Member State." w:history="1">
        <w:r w:rsidRPr="00072378">
          <w:rPr>
            <w:rFonts w:ascii="Verdana" w:eastAsia="Times New Roman" w:hAnsi="Verdana" w:cs="Times New Roman"/>
            <w:color w:val="000000"/>
            <w:highlight w:val="lightGray"/>
          </w:rPr>
          <w:t>national competent authorities</w:t>
        </w:r>
      </w:hyperlink>
      <w:r w:rsidRPr="00072378">
        <w:rPr>
          <w:rFonts w:ascii="Verdana" w:eastAsia="Times New Roman" w:hAnsi="Verdana" w:cs="Times New Roman"/>
          <w:color w:val="000000"/>
          <w:highlight w:val="lightGray"/>
        </w:rPr>
        <w:t> of the European Union (EU) Member States, Norway and Iceland from 2015 to 2018 shows that the EU </w:t>
      </w:r>
      <w:hyperlink r:id="rId6" w:tgtFrame="_blank" w:tooltip="Science and activities relating to the detection, assessment, understanding and prevention of adverse effects or any other medicine-related problem. &#13; &#13; More information can be found under 'Pharmacovigilance -  Overview'." w:history="1">
        <w:r w:rsidRPr="00072378">
          <w:rPr>
            <w:rFonts w:ascii="Verdana" w:eastAsia="Times New Roman" w:hAnsi="Verdana" w:cs="Times New Roman"/>
            <w:color w:val="000000"/>
            <w:highlight w:val="lightGray"/>
          </w:rPr>
          <w:t>pharmacovigilance</w:t>
        </w:r>
      </w:hyperlink>
      <w:r w:rsidRPr="00072378">
        <w:rPr>
          <w:rFonts w:ascii="Verdana" w:eastAsia="Times New Roman" w:hAnsi="Verdana" w:cs="Times New Roman"/>
          <w:color w:val="000000"/>
          <w:highlight w:val="lightGray"/>
        </w:rPr>
        <w:t> system is strong and adaptable and has had a positive impact on public health.</w:t>
      </w:r>
      <w:r w:rsidRPr="008C6698">
        <w:rPr>
          <w:rFonts w:ascii="Verdana" w:eastAsia="Times New Roman" w:hAnsi="Verdana" w:cs="Times New Roman"/>
          <w:color w:val="000000"/>
        </w:rPr>
        <w:t> </w:t>
      </w:r>
    </w:p>
    <w:p w14:paraId="2788FF00" w14:textId="77777777" w:rsidR="008C6698" w:rsidRPr="008C6698" w:rsidRDefault="008C6698" w:rsidP="008C6698">
      <w:pPr>
        <w:spacing w:beforeAutospacing="1" w:afterAutospacing="1"/>
        <w:rPr>
          <w:rFonts w:ascii="Verdana" w:eastAsia="Times New Roman" w:hAnsi="Verdana" w:cs="Times New Roman"/>
          <w:color w:val="000000"/>
        </w:rPr>
      </w:pPr>
      <w:r w:rsidRPr="00072378">
        <w:rPr>
          <w:rFonts w:ascii="Verdana" w:eastAsia="Times New Roman" w:hAnsi="Verdana" w:cs="Times New Roman"/>
          <w:color w:val="000000"/>
          <w:highlight w:val="darkGray"/>
        </w:rPr>
        <w:t>The report measures the longer-term impact of the </w:t>
      </w:r>
      <w:proofErr w:type="spellStart"/>
      <w:r w:rsidR="00072378" w:rsidRPr="00072378">
        <w:rPr>
          <w:highlight w:val="darkGray"/>
        </w:rPr>
        <w:fldChar w:fldCharType="begin"/>
      </w:r>
      <w:r w:rsidR="00072378" w:rsidRPr="00072378">
        <w:rPr>
          <w:highlight w:val="darkGray"/>
        </w:rPr>
        <w:instrText xml:space="preserve"> HYPERLINK "https://www.ema.europa.eu/en/glossary/pharmacovigilance" \t "_blank" \o "Science and activities relating to the detection, assessment, understanding and prevention of adverse effects or any other medicine-related problem. </w:instrText>
      </w:r>
      <w:r w:rsidR="00072378" w:rsidRPr="00072378">
        <w:rPr>
          <w:highlight w:val="darkGray"/>
        </w:rPr>
        <w:cr/>
        <w:instrText xml:space="preserve"> </w:instrText>
      </w:r>
      <w:r w:rsidR="00072378" w:rsidRPr="00072378">
        <w:rPr>
          <w:highlight w:val="darkGray"/>
        </w:rPr>
        <w:cr/>
        <w:instrText xml:space="preserve"> More information can be found under 'Pharmacovigilance -  Overview'." </w:instrText>
      </w:r>
      <w:r w:rsidR="00072378" w:rsidRPr="00072378">
        <w:rPr>
          <w:highlight w:val="darkGray"/>
        </w:rPr>
        <w:fldChar w:fldCharType="separate"/>
      </w:r>
      <w:r w:rsidRPr="00072378">
        <w:rPr>
          <w:rFonts w:ascii="Verdana" w:eastAsia="Times New Roman" w:hAnsi="Verdana" w:cs="Times New Roman"/>
          <w:color w:val="000000"/>
          <w:highlight w:val="darkGray"/>
        </w:rPr>
        <w:t>pharmacovigilance</w:t>
      </w:r>
      <w:r w:rsidR="00072378" w:rsidRPr="00072378">
        <w:rPr>
          <w:rFonts w:ascii="Verdana" w:eastAsia="Times New Roman" w:hAnsi="Verdana" w:cs="Times New Roman"/>
          <w:color w:val="000000"/>
          <w:highlight w:val="darkGray"/>
        </w:rPr>
        <w:fldChar w:fldCharType="end"/>
      </w:r>
      <w:r w:rsidRPr="00072378">
        <w:rPr>
          <w:rFonts w:ascii="Verdana" w:eastAsia="Times New Roman" w:hAnsi="Verdana" w:cs="Times New Roman"/>
          <w:color w:val="000000"/>
          <w:highlight w:val="darkGray"/>
        </w:rPr>
        <w:t>legislation</w:t>
      </w:r>
      <w:proofErr w:type="spellEnd"/>
      <w:r w:rsidRPr="00072378">
        <w:rPr>
          <w:rFonts w:ascii="Verdana" w:eastAsia="Times New Roman" w:hAnsi="Verdana" w:cs="Times New Roman"/>
          <w:color w:val="000000"/>
          <w:highlight w:val="darkGray"/>
        </w:rPr>
        <w:t>, which came into effect in July 2012, in terms of simplification of </w:t>
      </w:r>
      <w:hyperlink r:id="rId7" w:tgtFrame="_blank" w:tooltip="Science and activities relating to the detection, assessment, understanding and prevention of adverse effects or any other medicine-related problem. &#13; &#13; More information can be found under 'Pharmacovigilance -  Overview'." w:history="1">
        <w:r w:rsidRPr="00072378">
          <w:rPr>
            <w:rFonts w:ascii="Verdana" w:eastAsia="Times New Roman" w:hAnsi="Verdana" w:cs="Times New Roman"/>
            <w:color w:val="000000"/>
            <w:highlight w:val="darkGray"/>
          </w:rPr>
          <w:t>pharmacovigilance</w:t>
        </w:r>
      </w:hyperlink>
      <w:r w:rsidRPr="00072378">
        <w:rPr>
          <w:rFonts w:ascii="Verdana" w:eastAsia="Times New Roman" w:hAnsi="Verdana" w:cs="Times New Roman"/>
          <w:color w:val="000000"/>
          <w:highlight w:val="darkGray"/>
        </w:rPr>
        <w:t> processes, improved transparency and stakeholder engagement and protection of patient health.</w:t>
      </w:r>
      <w:r w:rsidRPr="008C6698">
        <w:rPr>
          <w:rFonts w:ascii="Verdana" w:eastAsia="Times New Roman" w:hAnsi="Verdana" w:cs="Times New Roman"/>
          <w:color w:val="000000"/>
        </w:rPr>
        <w:t xml:space="preserve"> </w:t>
      </w:r>
      <w:r w:rsidRPr="000B517D">
        <w:rPr>
          <w:rFonts w:ascii="Verdana" w:eastAsia="Times New Roman" w:hAnsi="Verdana" w:cs="Times New Roman"/>
          <w:color w:val="000000"/>
          <w:highlight w:val="darkGray"/>
        </w:rPr>
        <w:t>The measurement of impact is based on a </w:t>
      </w:r>
      <w:hyperlink r:id="rId8" w:anchor="measuring-the-impact-of-pharmacovigilance-activities-section" w:history="1">
        <w:r w:rsidRPr="000B517D">
          <w:rPr>
            <w:rFonts w:ascii="Verdana" w:eastAsia="Times New Roman" w:hAnsi="Verdana" w:cs="Times New Roman"/>
            <w:color w:val="75197C"/>
            <w:highlight w:val="darkGray"/>
          </w:rPr>
          <w:t>strategy and action plan for measuring the impact of pharmacovigilance activities</w:t>
        </w:r>
      </w:hyperlink>
      <w:r w:rsidRPr="000B517D">
        <w:rPr>
          <w:rFonts w:ascii="Verdana" w:eastAsia="Times New Roman" w:hAnsi="Verdana" w:cs="Times New Roman"/>
          <w:color w:val="000000"/>
          <w:highlight w:val="darkGray"/>
        </w:rPr>
        <w:t>, adopted by EMA’s </w:t>
      </w:r>
      <w:hyperlink r:id="rId9" w:tgtFrame="_self" w:history="1">
        <w:r w:rsidRPr="000B517D">
          <w:rPr>
            <w:rFonts w:ascii="Verdana" w:eastAsia="Times New Roman" w:hAnsi="Verdana" w:cs="Times New Roman"/>
            <w:color w:val="75197C"/>
            <w:highlight w:val="darkGray"/>
          </w:rPr>
          <w:t>safety committee (PRAC)</w:t>
        </w:r>
      </w:hyperlink>
      <w:r w:rsidRPr="000B517D">
        <w:rPr>
          <w:rFonts w:ascii="Verdana" w:eastAsia="Times New Roman" w:hAnsi="Verdana" w:cs="Times New Roman"/>
          <w:color w:val="000000"/>
          <w:highlight w:val="darkGray"/>
        </w:rPr>
        <w:t> in 2017.</w:t>
      </w:r>
      <w:r w:rsidRPr="008C6698">
        <w:rPr>
          <w:rFonts w:ascii="Verdana" w:eastAsia="Times New Roman" w:hAnsi="Verdana" w:cs="Times New Roman"/>
          <w:color w:val="000000"/>
        </w:rPr>
        <w:t> </w:t>
      </w:r>
    </w:p>
    <w:p w14:paraId="4DAB5966" w14:textId="77777777" w:rsidR="008C6698" w:rsidRPr="008C6698" w:rsidRDefault="008C6698" w:rsidP="008C6698">
      <w:pPr>
        <w:spacing w:before="100" w:beforeAutospacing="1" w:after="100" w:afterAutospacing="1"/>
        <w:outlineLvl w:val="3"/>
        <w:rPr>
          <w:rFonts w:ascii="Verdana" w:eastAsia="Times New Roman" w:hAnsi="Verdana" w:cs="Times New Roman"/>
          <w:b/>
          <w:bCs/>
          <w:color w:val="404040"/>
        </w:rPr>
      </w:pPr>
      <w:r w:rsidRPr="008C6698">
        <w:rPr>
          <w:rFonts w:ascii="Verdana" w:eastAsia="Times New Roman" w:hAnsi="Verdana" w:cs="Times New Roman"/>
          <w:b/>
          <w:bCs/>
          <w:color w:val="404040"/>
        </w:rPr>
        <w:t>Some key outcomes 2015-2018</w:t>
      </w:r>
    </w:p>
    <w:p w14:paraId="419172F3" w14:textId="77777777" w:rsidR="008C6698" w:rsidRPr="000B517D" w:rsidRDefault="008C6698" w:rsidP="008C6698">
      <w:pPr>
        <w:numPr>
          <w:ilvl w:val="0"/>
          <w:numId w:val="1"/>
        </w:numPr>
        <w:spacing w:beforeAutospacing="1" w:afterAutospacing="1"/>
        <w:rPr>
          <w:rFonts w:ascii="Verdana" w:eastAsia="Times New Roman" w:hAnsi="Verdana" w:cs="Times New Roman"/>
          <w:color w:val="000000"/>
          <w:highlight w:val="lightGray"/>
        </w:rPr>
      </w:pPr>
      <w:r w:rsidRPr="000B517D">
        <w:rPr>
          <w:rFonts w:ascii="Verdana" w:eastAsia="Times New Roman" w:hAnsi="Verdana" w:cs="Times New Roman"/>
          <w:color w:val="000000"/>
          <w:highlight w:val="lightGray"/>
        </w:rPr>
        <w:t>More than 500 new or updated </w:t>
      </w:r>
      <w:hyperlink r:id="rId10" w:tgtFrame="_blank" w:tooltip="A detailed description of the activities and interventions designed to identify, characterise, prevent or minimise risks relating to medicines." w:history="1">
        <w:r w:rsidRPr="000B517D">
          <w:rPr>
            <w:rFonts w:ascii="Verdana" w:eastAsia="Times New Roman" w:hAnsi="Verdana" w:cs="Times New Roman"/>
            <w:color w:val="000000"/>
            <w:highlight w:val="lightGray"/>
          </w:rPr>
          <w:t>risk management plans</w:t>
        </w:r>
      </w:hyperlink>
      <w:r w:rsidRPr="000B517D">
        <w:rPr>
          <w:rFonts w:ascii="Verdana" w:eastAsia="Times New Roman" w:hAnsi="Verdana" w:cs="Times New Roman"/>
          <w:color w:val="000000"/>
          <w:highlight w:val="lightGray"/>
        </w:rPr>
        <w:t> were assessed by the </w:t>
      </w:r>
      <w:hyperlink r:id="rId11" w:tgtFrame="_blank" w:tooltip="Pharmacovigilance Risk Assessment Committee -  the committee that is responsible for assessing all aspects of the risk management of medicines for human use. &#13; &#13; More information can be found under 'Pharmacovigilance Risk Assessment Committee (PRAC)'." w:history="1">
        <w:r w:rsidRPr="000B517D">
          <w:rPr>
            <w:rFonts w:ascii="Verdana" w:eastAsia="Times New Roman" w:hAnsi="Verdana" w:cs="Times New Roman"/>
            <w:color w:val="000000"/>
            <w:highlight w:val="lightGray"/>
          </w:rPr>
          <w:t>PRAC</w:t>
        </w:r>
      </w:hyperlink>
      <w:r w:rsidRPr="000B517D">
        <w:rPr>
          <w:rFonts w:ascii="Verdana" w:eastAsia="Times New Roman" w:hAnsi="Verdana" w:cs="Times New Roman"/>
          <w:color w:val="000000"/>
          <w:highlight w:val="lightGray"/>
        </w:rPr>
        <w:t xml:space="preserve"> each year, ensuring the safety monitoring and risk </w:t>
      </w:r>
      <w:proofErr w:type="spellStart"/>
      <w:r w:rsidRPr="000B517D">
        <w:rPr>
          <w:rFonts w:ascii="Verdana" w:eastAsia="Times New Roman" w:hAnsi="Verdana" w:cs="Times New Roman"/>
          <w:color w:val="000000"/>
          <w:highlight w:val="lightGray"/>
        </w:rPr>
        <w:t>minimisation</w:t>
      </w:r>
      <w:proofErr w:type="spellEnd"/>
      <w:r w:rsidRPr="000B517D">
        <w:rPr>
          <w:rFonts w:ascii="Verdana" w:eastAsia="Times New Roman" w:hAnsi="Verdana" w:cs="Times New Roman"/>
          <w:color w:val="000000"/>
          <w:highlight w:val="lightGray"/>
        </w:rPr>
        <w:t xml:space="preserve"> is proportionate and planned. In addition, nearly 7,000 </w:t>
      </w:r>
      <w:hyperlink r:id="rId12" w:tgtFrame="_blank" w:tooltip="A detailed description of the activities and interventions designed to identify, characterise, prevent or minimise risks relating to medicines." w:history="1">
        <w:r w:rsidRPr="000B517D">
          <w:rPr>
            <w:rFonts w:ascii="Verdana" w:eastAsia="Times New Roman" w:hAnsi="Verdana" w:cs="Times New Roman"/>
            <w:color w:val="000000"/>
            <w:highlight w:val="lightGray"/>
          </w:rPr>
          <w:t>risk management plans</w:t>
        </w:r>
      </w:hyperlink>
      <w:r w:rsidRPr="000B517D">
        <w:rPr>
          <w:rFonts w:ascii="Verdana" w:eastAsia="Times New Roman" w:hAnsi="Verdana" w:cs="Times New Roman"/>
          <w:color w:val="000000"/>
          <w:highlight w:val="lightGray"/>
        </w:rPr>
        <w:t xml:space="preserve"> were assessed by the Member States for nationally </w:t>
      </w:r>
      <w:proofErr w:type="spellStart"/>
      <w:r w:rsidRPr="000B517D">
        <w:rPr>
          <w:rFonts w:ascii="Verdana" w:eastAsia="Times New Roman" w:hAnsi="Verdana" w:cs="Times New Roman"/>
          <w:color w:val="000000"/>
          <w:highlight w:val="lightGray"/>
        </w:rPr>
        <w:t>authorised</w:t>
      </w:r>
      <w:proofErr w:type="spellEnd"/>
      <w:r w:rsidRPr="000B517D">
        <w:rPr>
          <w:rFonts w:ascii="Verdana" w:eastAsia="Times New Roman" w:hAnsi="Verdana" w:cs="Times New Roman"/>
          <w:color w:val="000000"/>
          <w:highlight w:val="lightGray"/>
        </w:rPr>
        <w:t xml:space="preserve"> medicines during the reporting period. </w:t>
      </w:r>
    </w:p>
    <w:p w14:paraId="03F3A667" w14:textId="77777777" w:rsidR="008C6698" w:rsidRPr="00072378" w:rsidRDefault="008C6698" w:rsidP="008C6698">
      <w:pPr>
        <w:numPr>
          <w:ilvl w:val="0"/>
          <w:numId w:val="1"/>
        </w:numPr>
        <w:spacing w:beforeAutospacing="1" w:afterAutospacing="1"/>
        <w:rPr>
          <w:rFonts w:ascii="Verdana" w:eastAsia="Times New Roman" w:hAnsi="Verdana" w:cs="Times New Roman"/>
          <w:color w:val="000000"/>
          <w:highlight w:val="lightGray"/>
        </w:rPr>
      </w:pPr>
      <w:r w:rsidRPr="00072378">
        <w:rPr>
          <w:rFonts w:ascii="Verdana" w:eastAsia="Times New Roman" w:hAnsi="Verdana" w:cs="Times New Roman"/>
          <w:color w:val="000000"/>
          <w:highlight w:val="lightGray"/>
        </w:rPr>
        <w:t>Enhanced </w:t>
      </w:r>
      <w:proofErr w:type="spellStart"/>
      <w:r w:rsidR="00072378" w:rsidRPr="00072378">
        <w:rPr>
          <w:highlight w:val="lightGray"/>
        </w:rPr>
        <w:fldChar w:fldCharType="begin"/>
      </w:r>
      <w:r w:rsidR="00072378" w:rsidRPr="00072378">
        <w:rPr>
          <w:highlight w:val="lightGray"/>
        </w:rPr>
        <w:instrText xml:space="preserve"> HYPERLINK "https://www.ema.europa.eu/en/glossary/eudravigilance" \t "_blank" \o "A centralised European database of suspected adverse reactions to medicines that are authorised or being studied in clinical trials in the European Economic Area (EEA). </w:instrText>
      </w:r>
      <w:r w:rsidR="00072378" w:rsidRPr="00072378">
        <w:rPr>
          <w:highlight w:val="lightGray"/>
        </w:rPr>
        <w:cr/>
        <w:instrText xml:space="preserve"> </w:instrText>
      </w:r>
      <w:r w:rsidR="00072378" w:rsidRPr="00072378">
        <w:rPr>
          <w:highlight w:val="lightGray"/>
        </w:rPr>
        <w:cr/>
        <w:instrText xml:space="preserve"> More information can be found under 'EudraVigilance'. " </w:instrText>
      </w:r>
      <w:r w:rsidR="00072378" w:rsidRPr="00072378">
        <w:rPr>
          <w:highlight w:val="lightGray"/>
        </w:rPr>
        <w:fldChar w:fldCharType="separate"/>
      </w:r>
      <w:r w:rsidRPr="00072378">
        <w:rPr>
          <w:rFonts w:ascii="Verdana" w:eastAsia="Times New Roman" w:hAnsi="Verdana" w:cs="Times New Roman"/>
          <w:color w:val="000000"/>
          <w:highlight w:val="lightGray"/>
        </w:rPr>
        <w:t>EudraVigilance</w:t>
      </w:r>
      <w:proofErr w:type="spellEnd"/>
      <w:r w:rsidR="00072378" w:rsidRPr="00072378">
        <w:rPr>
          <w:rFonts w:ascii="Verdana" w:eastAsia="Times New Roman" w:hAnsi="Verdana" w:cs="Times New Roman"/>
          <w:color w:val="000000"/>
          <w:highlight w:val="lightGray"/>
        </w:rPr>
        <w:fldChar w:fldCharType="end"/>
      </w:r>
      <w:r w:rsidRPr="00072378">
        <w:rPr>
          <w:rFonts w:ascii="Verdana" w:eastAsia="Times New Roman" w:hAnsi="Verdana" w:cs="Times New Roman"/>
          <w:color w:val="000000"/>
          <w:highlight w:val="lightGray"/>
        </w:rPr>
        <w:t> database of suspected side effects, resulting in improved reporting and greater analytical power;</w:t>
      </w:r>
    </w:p>
    <w:p w14:paraId="354373E4" w14:textId="77777777" w:rsidR="008C6698" w:rsidRPr="000B517D" w:rsidRDefault="008C6698" w:rsidP="008C6698">
      <w:pPr>
        <w:numPr>
          <w:ilvl w:val="0"/>
          <w:numId w:val="1"/>
        </w:numPr>
        <w:spacing w:beforeAutospacing="1" w:afterAutospacing="1"/>
        <w:rPr>
          <w:rFonts w:ascii="Verdana" w:eastAsia="Times New Roman" w:hAnsi="Verdana" w:cs="Times New Roman"/>
          <w:color w:val="000000"/>
          <w:highlight w:val="lightGray"/>
        </w:rPr>
      </w:pPr>
      <w:r w:rsidRPr="000B517D">
        <w:rPr>
          <w:rFonts w:ascii="Verdana" w:eastAsia="Times New Roman" w:hAnsi="Verdana" w:cs="Times New Roman"/>
          <w:color w:val="000000"/>
          <w:highlight w:val="lightGray"/>
        </w:rPr>
        <w:t>Evaluation of nearly 9,000 potential signals (information about new or changing safety issues potentially caused by a medicine) by EMA’s </w:t>
      </w:r>
      <w:hyperlink r:id="rId13" w:tgtFrame="_self" w:history="1">
        <w:r w:rsidRPr="000B517D">
          <w:rPr>
            <w:rFonts w:ascii="Verdana" w:eastAsia="Times New Roman" w:hAnsi="Verdana" w:cs="Times New Roman"/>
            <w:color w:val="75197C"/>
            <w:highlight w:val="lightGray"/>
          </w:rPr>
          <w:t>signal management</w:t>
        </w:r>
      </w:hyperlink>
      <w:r w:rsidRPr="000B517D">
        <w:rPr>
          <w:rFonts w:ascii="Verdana" w:eastAsia="Times New Roman" w:hAnsi="Verdana" w:cs="Times New Roman"/>
          <w:color w:val="000000"/>
          <w:highlight w:val="lightGray"/>
        </w:rPr>
        <w:t> team over the period covered by the report, and a similar number of potential signals assessed by Member States; </w:t>
      </w:r>
    </w:p>
    <w:p w14:paraId="77C1CDB0" w14:textId="77777777" w:rsidR="008C6698" w:rsidRPr="000B517D" w:rsidRDefault="008C6698" w:rsidP="008C6698">
      <w:pPr>
        <w:numPr>
          <w:ilvl w:val="0"/>
          <w:numId w:val="1"/>
        </w:numPr>
        <w:spacing w:beforeAutospacing="1" w:afterAutospacing="1"/>
        <w:rPr>
          <w:rFonts w:ascii="Verdana" w:eastAsia="Times New Roman" w:hAnsi="Verdana" w:cs="Times New Roman"/>
          <w:color w:val="000000"/>
          <w:highlight w:val="lightGray"/>
        </w:rPr>
      </w:pPr>
      <w:r w:rsidRPr="000B517D">
        <w:rPr>
          <w:rFonts w:ascii="Verdana" w:eastAsia="Times New Roman" w:hAnsi="Verdana" w:cs="Times New Roman"/>
          <w:color w:val="000000"/>
          <w:highlight w:val="lightGray"/>
        </w:rPr>
        <w:t>Radical simplification and improvement of the way </w:t>
      </w:r>
      <w:hyperlink r:id="rId14" w:tgtFrame="_blank" w:tooltip="A report prepared by the marketing-authorisation holder describing the worldwide safety experience with a medicine at a defined time after its authorisation. Abbreviated as PSUR. &#13; &#13; More information can be found under 'Periodic safety update reports -  questions and answers'." w:history="1">
        <w:r w:rsidRPr="000B517D">
          <w:rPr>
            <w:rFonts w:ascii="Verdana" w:eastAsia="Times New Roman" w:hAnsi="Verdana" w:cs="Times New Roman"/>
            <w:color w:val="000000"/>
            <w:highlight w:val="lightGray"/>
          </w:rPr>
          <w:t>periodic safety update reports</w:t>
        </w:r>
      </w:hyperlink>
      <w:r w:rsidRPr="000B517D">
        <w:rPr>
          <w:rFonts w:ascii="Verdana" w:eastAsia="Times New Roman" w:hAnsi="Verdana" w:cs="Times New Roman"/>
          <w:color w:val="000000"/>
          <w:highlight w:val="lightGray"/>
        </w:rPr>
        <w:t> are handled, by establishing a common repository with a single portal for access;</w:t>
      </w:r>
    </w:p>
    <w:p w14:paraId="60FCCD4D" w14:textId="77777777" w:rsidR="008C6698" w:rsidRPr="000B517D" w:rsidRDefault="008C6698" w:rsidP="008C6698">
      <w:pPr>
        <w:numPr>
          <w:ilvl w:val="0"/>
          <w:numId w:val="1"/>
        </w:numPr>
        <w:spacing w:beforeAutospacing="1" w:afterAutospacing="1"/>
        <w:rPr>
          <w:rFonts w:ascii="Verdana" w:eastAsia="Times New Roman" w:hAnsi="Verdana" w:cs="Times New Roman"/>
          <w:color w:val="000000"/>
          <w:highlight w:val="darkGray"/>
        </w:rPr>
      </w:pPr>
      <w:bookmarkStart w:id="0" w:name="_GoBack"/>
      <w:bookmarkEnd w:id="0"/>
      <w:r w:rsidRPr="000B517D">
        <w:rPr>
          <w:rFonts w:ascii="Verdana" w:eastAsia="Times New Roman" w:hAnsi="Verdana" w:cs="Times New Roman"/>
          <w:color w:val="000000"/>
          <w:highlight w:val="yellow"/>
        </w:rPr>
        <w:t>Development of criteria to determine when a </w:t>
      </w:r>
      <w:hyperlink r:id="rId15" w:tgtFrame="_self" w:history="1">
        <w:r w:rsidRPr="000B517D">
          <w:rPr>
            <w:rFonts w:ascii="Verdana" w:eastAsia="Times New Roman" w:hAnsi="Verdana" w:cs="Times New Roman"/>
            <w:color w:val="75197C"/>
            <w:highlight w:val="yellow"/>
          </w:rPr>
          <w:t>public hearing</w:t>
        </w:r>
      </w:hyperlink>
      <w:r w:rsidRPr="000B517D">
        <w:rPr>
          <w:rFonts w:ascii="Verdana" w:eastAsia="Times New Roman" w:hAnsi="Verdana" w:cs="Times New Roman"/>
          <w:color w:val="000000"/>
          <w:highlight w:val="yellow"/>
        </w:rPr>
        <w:t xml:space="preserve"> on issues of medicines’ safety would be of value, and the successful holding </w:t>
      </w:r>
      <w:r w:rsidRPr="000B517D">
        <w:rPr>
          <w:rFonts w:ascii="Verdana" w:eastAsia="Times New Roman" w:hAnsi="Verdana" w:cs="Times New Roman"/>
          <w:color w:val="000000"/>
          <w:highlight w:val="darkGray"/>
        </w:rPr>
        <w:t>of the first such hearings, for </w:t>
      </w:r>
      <w:hyperlink r:id="rId16" w:tgtFrame="_self" w:history="1">
        <w:r w:rsidRPr="000B517D">
          <w:rPr>
            <w:rFonts w:ascii="Verdana" w:eastAsia="Times New Roman" w:hAnsi="Verdana" w:cs="Times New Roman"/>
            <w:color w:val="75197C"/>
            <w:highlight w:val="darkGray"/>
          </w:rPr>
          <w:t>valproate-containing medicines</w:t>
        </w:r>
      </w:hyperlink>
      <w:r w:rsidRPr="000B517D">
        <w:rPr>
          <w:rFonts w:ascii="Verdana" w:eastAsia="Times New Roman" w:hAnsi="Verdana" w:cs="Times New Roman"/>
          <w:color w:val="000000"/>
          <w:highlight w:val="darkGray"/>
        </w:rPr>
        <w:t> in 2017 and for </w:t>
      </w:r>
      <w:hyperlink r:id="rId17" w:tgtFrame="_self" w:history="1">
        <w:r w:rsidRPr="000B517D">
          <w:rPr>
            <w:rFonts w:ascii="Verdana" w:eastAsia="Times New Roman" w:hAnsi="Verdana" w:cs="Times New Roman"/>
            <w:color w:val="75197C"/>
            <w:highlight w:val="darkGray"/>
          </w:rPr>
          <w:t>quinolone and fluoroquinolone antibiotics</w:t>
        </w:r>
      </w:hyperlink>
      <w:r w:rsidRPr="000B517D">
        <w:rPr>
          <w:rFonts w:ascii="Verdana" w:eastAsia="Times New Roman" w:hAnsi="Verdana" w:cs="Times New Roman"/>
          <w:color w:val="000000"/>
          <w:highlight w:val="darkGray"/>
        </w:rPr>
        <w:t> in 2018;</w:t>
      </w:r>
    </w:p>
    <w:p w14:paraId="5D5CE042" w14:textId="77777777" w:rsidR="008C6698" w:rsidRPr="000B517D" w:rsidRDefault="008C6698" w:rsidP="008C6698">
      <w:pPr>
        <w:numPr>
          <w:ilvl w:val="0"/>
          <w:numId w:val="1"/>
        </w:numPr>
        <w:spacing w:beforeAutospacing="1" w:afterAutospacing="1"/>
        <w:rPr>
          <w:rFonts w:ascii="Verdana" w:eastAsia="Times New Roman" w:hAnsi="Verdana" w:cs="Times New Roman"/>
          <w:color w:val="000000"/>
          <w:highlight w:val="darkGray"/>
        </w:rPr>
      </w:pPr>
      <w:r w:rsidRPr="000B517D">
        <w:rPr>
          <w:rFonts w:ascii="Verdana" w:eastAsia="Times New Roman" w:hAnsi="Verdana" w:cs="Times New Roman"/>
          <w:color w:val="000000"/>
          <w:highlight w:val="darkGray"/>
        </w:rPr>
        <w:lastRenderedPageBreak/>
        <w:t>Continued development of the ‘</w:t>
      </w:r>
      <w:hyperlink r:id="rId18" w:tgtFrame="_self" w:history="1">
        <w:r w:rsidRPr="000B517D">
          <w:rPr>
            <w:rFonts w:ascii="Verdana" w:eastAsia="Times New Roman" w:hAnsi="Verdana" w:cs="Times New Roman"/>
            <w:color w:val="75197C"/>
            <w:highlight w:val="darkGray"/>
          </w:rPr>
          <w:t>Article 57 database</w:t>
        </w:r>
      </w:hyperlink>
      <w:r w:rsidRPr="000B517D">
        <w:rPr>
          <w:rFonts w:ascii="Verdana" w:eastAsia="Times New Roman" w:hAnsi="Verdana" w:cs="Times New Roman"/>
          <w:color w:val="000000"/>
          <w:highlight w:val="darkGray"/>
        </w:rPr>
        <w:t>’, which now contains information on more than 800,000 </w:t>
      </w:r>
      <w:hyperlink r:id="rId19" w:tgtFrame="_blank" w:tooltip="A substance or combination of substances that is intended to treat, prevent or diagnose a disease, or to restore, correct or modify physiological functions by exerting a pharmacological, immunological or metabolic action." w:history="1">
        <w:r w:rsidRPr="000B517D">
          <w:rPr>
            <w:rFonts w:ascii="Verdana" w:eastAsia="Times New Roman" w:hAnsi="Verdana" w:cs="Times New Roman"/>
            <w:color w:val="000000"/>
            <w:highlight w:val="darkGray"/>
          </w:rPr>
          <w:t>medicinal products</w:t>
        </w:r>
      </w:hyperlink>
      <w:r w:rsidRPr="000B517D">
        <w:rPr>
          <w:rFonts w:ascii="Verdana" w:eastAsia="Times New Roman" w:hAnsi="Verdana" w:cs="Times New Roman"/>
          <w:color w:val="000000"/>
          <w:highlight w:val="darkGray"/>
        </w:rPr>
        <w:t> </w:t>
      </w:r>
      <w:proofErr w:type="spellStart"/>
      <w:r w:rsidRPr="000B517D">
        <w:rPr>
          <w:rFonts w:ascii="Verdana" w:eastAsia="Times New Roman" w:hAnsi="Verdana" w:cs="Times New Roman"/>
          <w:color w:val="000000"/>
          <w:highlight w:val="darkGray"/>
        </w:rPr>
        <w:t>authorised</w:t>
      </w:r>
      <w:proofErr w:type="spellEnd"/>
      <w:r w:rsidRPr="000B517D">
        <w:rPr>
          <w:rFonts w:ascii="Verdana" w:eastAsia="Times New Roman" w:hAnsi="Verdana" w:cs="Times New Roman"/>
          <w:color w:val="000000"/>
          <w:highlight w:val="darkGray"/>
        </w:rPr>
        <w:t xml:space="preserve"> through central, </w:t>
      </w:r>
      <w:proofErr w:type="spellStart"/>
      <w:r w:rsidRPr="000B517D">
        <w:rPr>
          <w:rFonts w:ascii="Verdana" w:eastAsia="Times New Roman" w:hAnsi="Verdana" w:cs="Times New Roman"/>
          <w:color w:val="000000"/>
          <w:highlight w:val="darkGray"/>
        </w:rPr>
        <w:t>decentralised</w:t>
      </w:r>
      <w:proofErr w:type="spellEnd"/>
      <w:r w:rsidRPr="000B517D">
        <w:rPr>
          <w:rFonts w:ascii="Verdana" w:eastAsia="Times New Roman" w:hAnsi="Verdana" w:cs="Times New Roman"/>
          <w:color w:val="000000"/>
          <w:highlight w:val="darkGray"/>
        </w:rPr>
        <w:t>, </w:t>
      </w:r>
      <w:hyperlink r:id="rId20" w:tgtFrame="_blank" w:tooltip="A procedure through which an authorisation of a medicine in one European Union Member State is recognised by another Member State. For more information, see volume 2A -  Procedures for marketing authorisation -  Chapter 2 -  Mutual recognition." w:history="1">
        <w:r w:rsidRPr="000B517D">
          <w:rPr>
            <w:rFonts w:ascii="Verdana" w:eastAsia="Times New Roman" w:hAnsi="Verdana" w:cs="Times New Roman"/>
            <w:color w:val="000000"/>
            <w:highlight w:val="darkGray"/>
          </w:rPr>
          <w:t>mutual recognition</w:t>
        </w:r>
      </w:hyperlink>
      <w:r w:rsidRPr="000B517D">
        <w:rPr>
          <w:rFonts w:ascii="Verdana" w:eastAsia="Times New Roman" w:hAnsi="Verdana" w:cs="Times New Roman"/>
          <w:color w:val="000000"/>
          <w:highlight w:val="darkGray"/>
        </w:rPr>
        <w:t> and national procedures across the European Economic Area.</w:t>
      </w:r>
    </w:p>
    <w:p w14:paraId="4F142349" w14:textId="77777777" w:rsidR="008C6698" w:rsidRPr="008C6698" w:rsidRDefault="008C6698" w:rsidP="008C6698">
      <w:pPr>
        <w:spacing w:beforeAutospacing="1" w:afterAutospacing="1"/>
        <w:rPr>
          <w:rFonts w:ascii="Verdana" w:eastAsia="Times New Roman" w:hAnsi="Verdana" w:cs="Times New Roman"/>
          <w:color w:val="000000"/>
        </w:rPr>
      </w:pPr>
      <w:r w:rsidRPr="000B517D">
        <w:rPr>
          <w:rFonts w:ascii="Verdana" w:eastAsia="Times New Roman" w:hAnsi="Verdana" w:cs="Times New Roman"/>
          <w:color w:val="000000"/>
          <w:highlight w:val="yellow"/>
        </w:rPr>
        <w:t>The report on the impact of </w:t>
      </w:r>
      <w:hyperlink r:id="rId21" w:tgtFrame="_blank" w:tooltip="Science and activities relating to the detection, assessment, understanding and prevention of adverse effects or any other medicine-related problem. &#13; &#13; More information can be found under 'Pharmacovigilance -  Overview'." w:history="1">
        <w:r w:rsidRPr="000B517D">
          <w:rPr>
            <w:rFonts w:ascii="Verdana" w:eastAsia="Times New Roman" w:hAnsi="Verdana" w:cs="Times New Roman"/>
            <w:color w:val="000000"/>
            <w:highlight w:val="yellow"/>
          </w:rPr>
          <w:t>pharmacovigilance</w:t>
        </w:r>
      </w:hyperlink>
      <w:r w:rsidRPr="000B517D">
        <w:rPr>
          <w:rFonts w:ascii="Verdana" w:eastAsia="Times New Roman" w:hAnsi="Verdana" w:cs="Times New Roman"/>
          <w:color w:val="000000"/>
          <w:highlight w:val="yellow"/>
        </w:rPr>
        <w:t> measures was prepared by EMA in collaboration with the </w:t>
      </w:r>
      <w:hyperlink r:id="rId22" w:tgtFrame="_blank" w:tooltip="A medicines regulatory authority in a European Union Member State." w:history="1">
        <w:r w:rsidRPr="000B517D">
          <w:rPr>
            <w:rFonts w:ascii="Verdana" w:eastAsia="Times New Roman" w:hAnsi="Verdana" w:cs="Times New Roman"/>
            <w:color w:val="000000"/>
            <w:highlight w:val="yellow"/>
          </w:rPr>
          <w:t>national competent authorities</w:t>
        </w:r>
      </w:hyperlink>
      <w:r w:rsidRPr="000B517D">
        <w:rPr>
          <w:rFonts w:ascii="Verdana" w:eastAsia="Times New Roman" w:hAnsi="Verdana" w:cs="Times New Roman"/>
          <w:color w:val="000000"/>
          <w:highlight w:val="yellow"/>
        </w:rPr>
        <w:t> and aims to meet the European Commission’s ongoing obligation to publish information on </w:t>
      </w:r>
      <w:hyperlink r:id="rId23" w:tgtFrame="_blank" w:tooltip="Science and activities relating to the detection, assessment, understanding and prevention of adverse effects or any other medicine-related problem. &#13; &#13; More information can be found under 'Pharmacovigilance -  Overview'." w:history="1">
        <w:r w:rsidRPr="000B517D">
          <w:rPr>
            <w:rFonts w:ascii="Verdana" w:eastAsia="Times New Roman" w:hAnsi="Verdana" w:cs="Times New Roman"/>
            <w:color w:val="000000"/>
            <w:highlight w:val="yellow"/>
          </w:rPr>
          <w:t>pharmacovigilance</w:t>
        </w:r>
      </w:hyperlink>
      <w:r w:rsidRPr="000B517D">
        <w:rPr>
          <w:rFonts w:ascii="Verdana" w:eastAsia="Times New Roman" w:hAnsi="Verdana" w:cs="Times New Roman"/>
          <w:color w:val="000000"/>
          <w:highlight w:val="yellow"/>
        </w:rPr>
        <w:t> activities carried out by the Agency and the competent authorities of the EU Member States, Norway and Iceland. It includes quantitative data covering the period 01/01/2015 to 31/12/2018 and shows that the </w:t>
      </w:r>
      <w:hyperlink r:id="rId24" w:tgtFrame="_self" w:history="1">
        <w:r w:rsidRPr="000B517D">
          <w:rPr>
            <w:rFonts w:ascii="Verdana" w:eastAsia="Times New Roman" w:hAnsi="Verdana" w:cs="Times New Roman"/>
            <w:color w:val="75197C"/>
            <w:highlight w:val="yellow"/>
          </w:rPr>
          <w:t>European regulatory network for medicines</w:t>
        </w:r>
      </w:hyperlink>
      <w:r w:rsidRPr="000B517D">
        <w:rPr>
          <w:rFonts w:ascii="Verdana" w:eastAsia="Times New Roman" w:hAnsi="Verdana" w:cs="Times New Roman"/>
          <w:color w:val="000000"/>
          <w:highlight w:val="yellow"/>
        </w:rPr>
        <w:t> is held accountable for the </w:t>
      </w:r>
      <w:hyperlink r:id="rId25" w:tgtFrame="_self" w:history="1">
        <w:r w:rsidRPr="000B517D">
          <w:rPr>
            <w:rFonts w:ascii="Verdana" w:eastAsia="Times New Roman" w:hAnsi="Verdana" w:cs="Times New Roman"/>
            <w:color w:val="75197C"/>
            <w:highlight w:val="yellow"/>
          </w:rPr>
          <w:t>implementation of the pharmacovigilance legislation</w:t>
        </w:r>
      </w:hyperlink>
      <w:r w:rsidRPr="000B517D">
        <w:rPr>
          <w:rFonts w:ascii="Verdana" w:eastAsia="Times New Roman" w:hAnsi="Verdana" w:cs="Times New Roman"/>
          <w:color w:val="000000"/>
          <w:highlight w:val="yellow"/>
        </w:rPr>
        <w:t>.</w:t>
      </w:r>
    </w:p>
    <w:p w14:paraId="0E98738C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53FC"/>
    <w:multiLevelType w:val="multilevel"/>
    <w:tmpl w:val="7E28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81"/>
    <w:rsid w:val="00072378"/>
    <w:rsid w:val="000B517D"/>
    <w:rsid w:val="00453EED"/>
    <w:rsid w:val="004D0EC8"/>
    <w:rsid w:val="004D7B81"/>
    <w:rsid w:val="008C6698"/>
    <w:rsid w:val="00BE080D"/>
    <w:rsid w:val="00FF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D0E99"/>
  <w14:defaultImageDpi w14:val="32767"/>
  <w15:chartTrackingRefBased/>
  <w15:docId w15:val="{9BB047ED-A51A-884A-AEA0-0F97C52B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669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8C669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6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8C6698"/>
    <w:rPr>
      <w:rFonts w:ascii="Times New Roman" w:eastAsia="Times New Roman" w:hAnsi="Times New Roman" w:cs="Times New Roman"/>
      <w:b/>
      <w:bCs/>
    </w:rPr>
  </w:style>
  <w:style w:type="character" w:customStyle="1" w:styleId="apple-converted-space">
    <w:name w:val="apple-converted-space"/>
    <w:basedOn w:val="DefaultParagraphFont"/>
    <w:rsid w:val="008C6698"/>
  </w:style>
  <w:style w:type="character" w:customStyle="1" w:styleId="date-display-single">
    <w:name w:val="date-display-single"/>
    <w:basedOn w:val="DefaultParagraphFont"/>
    <w:rsid w:val="008C6698"/>
  </w:style>
  <w:style w:type="paragraph" w:styleId="NormalWeb">
    <w:name w:val="Normal (Web)"/>
    <w:basedOn w:val="Normal"/>
    <w:uiPriority w:val="99"/>
    <w:semiHidden/>
    <w:unhideWhenUsed/>
    <w:rsid w:val="008C66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C66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03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8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5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86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a.europa.eu/en/human-regulatory/overview/pharmacovigilance-overview" TargetMode="External"/><Relationship Id="rId13" Type="http://schemas.openxmlformats.org/officeDocument/2006/relationships/hyperlink" Target="https://www.ema.europa.eu/en/human-regulatory/post-authorisation/pharmacovigilance/signal-management" TargetMode="External"/><Relationship Id="rId18" Type="http://schemas.openxmlformats.org/officeDocument/2006/relationships/hyperlink" Target="https://www.ema.europa.eu/en/human-regulatory/post-authorisation/data-medicines-iso-idmp-standards/public-data-article-57-databas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ema.europa.eu/en/glossary/pharmacovigilance" TargetMode="External"/><Relationship Id="rId7" Type="http://schemas.openxmlformats.org/officeDocument/2006/relationships/hyperlink" Target="https://www.ema.europa.eu/en/glossary/pharmacovigilance" TargetMode="External"/><Relationship Id="rId12" Type="http://schemas.openxmlformats.org/officeDocument/2006/relationships/hyperlink" Target="https://www.ema.europa.eu/en/glossary/risk-management-plan" TargetMode="External"/><Relationship Id="rId17" Type="http://schemas.openxmlformats.org/officeDocument/2006/relationships/hyperlink" Target="https://www.ema.europa.eu/en/medicines/human/referrals/quinolone-fluoroquinolone-containing-medicinal-products" TargetMode="External"/><Relationship Id="rId25" Type="http://schemas.openxmlformats.org/officeDocument/2006/relationships/hyperlink" Target="https://www.ema.europa.eu/en/human-regulatory/overview/pharmacovigilance/legal-framework/implementation-pharmacovigilance-legisl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ma.europa.eu/en/medicines/human/referrals/valproate-related-substances-0" TargetMode="External"/><Relationship Id="rId20" Type="http://schemas.openxmlformats.org/officeDocument/2006/relationships/hyperlink" Target="https://www.ema.europa.eu/en/glossary/mutual-recogni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ma.europa.eu/en/glossary/pharmacovigilance" TargetMode="External"/><Relationship Id="rId11" Type="http://schemas.openxmlformats.org/officeDocument/2006/relationships/hyperlink" Target="https://www.ema.europa.eu/en/glossary/prac" TargetMode="External"/><Relationship Id="rId24" Type="http://schemas.openxmlformats.org/officeDocument/2006/relationships/hyperlink" Target="https://www.ema.europa.eu/en/about-us/how-we-work/european-medicines-regulatory-network" TargetMode="External"/><Relationship Id="rId5" Type="http://schemas.openxmlformats.org/officeDocument/2006/relationships/hyperlink" Target="https://www.ema.europa.eu/en/glossary/national-competent-authority" TargetMode="External"/><Relationship Id="rId15" Type="http://schemas.openxmlformats.org/officeDocument/2006/relationships/hyperlink" Target="https://www.ema.europa.eu/en/about-us/how-we-work/public-hearings" TargetMode="External"/><Relationship Id="rId23" Type="http://schemas.openxmlformats.org/officeDocument/2006/relationships/hyperlink" Target="https://www.ema.europa.eu/en/glossary/pharmacovigilance" TargetMode="External"/><Relationship Id="rId10" Type="http://schemas.openxmlformats.org/officeDocument/2006/relationships/hyperlink" Target="https://www.ema.europa.eu/en/glossary/risk-management-plan" TargetMode="External"/><Relationship Id="rId19" Type="http://schemas.openxmlformats.org/officeDocument/2006/relationships/hyperlink" Target="https://www.ema.europa.eu/en/glossary/medicinal-produ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ma.europa.eu/en/committees/pharmacovigilance-risk-assessment-committee-prac" TargetMode="External"/><Relationship Id="rId14" Type="http://schemas.openxmlformats.org/officeDocument/2006/relationships/hyperlink" Target="https://www.ema.europa.eu/en/glossary/periodic-safety-update-report" TargetMode="External"/><Relationship Id="rId22" Type="http://schemas.openxmlformats.org/officeDocument/2006/relationships/hyperlink" Target="https://www.ema.europa.eu/en/glossary/national-competent-authorit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1206</Words>
  <Characters>6876</Characters>
  <Application>Microsoft Office Word</Application>
  <DocSecurity>0</DocSecurity>
  <Lines>57</Lines>
  <Paragraphs>16</Paragraphs>
  <ScaleCrop>false</ScaleCrop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6</cp:revision>
  <dcterms:created xsi:type="dcterms:W3CDTF">2020-02-18T10:37:00Z</dcterms:created>
  <dcterms:modified xsi:type="dcterms:W3CDTF">2020-05-11T09:17:00Z</dcterms:modified>
</cp:coreProperties>
</file>