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FEBE0" w14:textId="77777777" w:rsidR="00DA25E8" w:rsidRPr="00DA25E8" w:rsidRDefault="00DA25E8" w:rsidP="00DA25E8">
      <w:pPr>
        <w:outlineLvl w:val="0"/>
        <w:rPr>
          <w:rFonts w:ascii="Verdana" w:eastAsia="Times New Roman" w:hAnsi="Verdana" w:cs="Times New Roman"/>
          <w:color w:val="000000"/>
          <w:kern w:val="36"/>
          <w:sz w:val="48"/>
          <w:szCs w:val="48"/>
        </w:rPr>
      </w:pPr>
      <w:r w:rsidRPr="00DA25E8">
        <w:rPr>
          <w:rFonts w:ascii="Verdana" w:eastAsia="Times New Roman" w:hAnsi="Verdana" w:cs="Times New Roman"/>
          <w:color w:val="000000"/>
          <w:kern w:val="36"/>
          <w:sz w:val="48"/>
          <w:szCs w:val="48"/>
        </w:rPr>
        <w:t>Committee for Medicinal Products for Veterinary Use (CVMP) meeting of 5-7 November 2019</w:t>
      </w:r>
    </w:p>
    <w:p w14:paraId="5178B323" w14:textId="77777777" w:rsidR="00DA25E8" w:rsidRPr="00DA25E8" w:rsidRDefault="00DA25E8" w:rsidP="00DA25E8">
      <w:pPr>
        <w:rPr>
          <w:rFonts w:ascii="Times New Roman" w:eastAsia="Times New Roman" w:hAnsi="Times New Roman" w:cs="Times New Roman"/>
        </w:rPr>
      </w:pPr>
      <w:r w:rsidRPr="00DA25E8">
        <w:rPr>
          <w:rFonts w:ascii="Verdana" w:eastAsia="Times New Roman" w:hAnsi="Verdana" w:cs="Times New Roman"/>
          <w:color w:val="000000"/>
        </w:rPr>
        <w:t> </w:t>
      </w:r>
    </w:p>
    <w:p w14:paraId="1E7D197D" w14:textId="77777777" w:rsidR="00DA25E8" w:rsidRPr="00DA25E8" w:rsidRDefault="00DA25E8" w:rsidP="00DA25E8">
      <w:pPr>
        <w:rPr>
          <w:rFonts w:ascii="Verdana" w:eastAsia="Times New Roman" w:hAnsi="Verdana" w:cs="Times New Roman"/>
          <w:color w:val="000000"/>
        </w:rPr>
      </w:pPr>
      <w:r w:rsidRPr="00DA25E8">
        <w:rPr>
          <w:rFonts w:ascii="Verdana" w:eastAsia="Times New Roman" w:hAnsi="Verdana" w:cs="Times New Roman"/>
          <w:color w:val="000000"/>
        </w:rPr>
        <w:t>Share</w:t>
      </w:r>
    </w:p>
    <w:p w14:paraId="404786BC" w14:textId="77777777" w:rsidR="00DA25E8" w:rsidRPr="00DA25E8" w:rsidRDefault="00DA25E8" w:rsidP="00DA25E8">
      <w:pPr>
        <w:rPr>
          <w:rFonts w:ascii="Verdana" w:eastAsia="Times New Roman" w:hAnsi="Verdana" w:cs="Times New Roman"/>
          <w:color w:val="000000"/>
        </w:rPr>
      </w:pPr>
      <w:r w:rsidRPr="00DA25E8">
        <w:rPr>
          <w:rFonts w:ascii="Verdana" w:eastAsia="Times New Roman" w:hAnsi="Verdana" w:cs="Times New Roman"/>
          <w:color w:val="000000"/>
        </w:rPr>
        <w:t>Press release 08/11/2019</w:t>
      </w:r>
    </w:p>
    <w:p w14:paraId="1308A83A"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CVMP recommends two new veterinary medicines for MUMS/limited markets</w:t>
      </w:r>
    </w:p>
    <w:p w14:paraId="4E2A68F3"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CVMP opinions on veterinary medicinal products</w:t>
      </w:r>
    </w:p>
    <w:p w14:paraId="4C090EBD"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by majority a positive opinion for an initial </w:t>
      </w:r>
      <w:hyperlink r:id="rId5" w:tgtFrame="_blank" w:tooltip="An application made to a European regulatory authority for approval to market a medicine within the European Union." w:history="1">
        <w:r w:rsidRPr="00DA25E8">
          <w:rPr>
            <w:rFonts w:ascii="Verdana" w:eastAsia="Times New Roman" w:hAnsi="Verdana" w:cs="Times New Roman"/>
            <w:color w:val="000000"/>
            <w:u w:val="single"/>
          </w:rPr>
          <w:t>marketing authorisation application</w:t>
        </w:r>
      </w:hyperlink>
      <w:r w:rsidRPr="00DA25E8">
        <w:rPr>
          <w:rFonts w:ascii="Verdana" w:eastAsia="Times New Roman" w:hAnsi="Verdana" w:cs="Times New Roman"/>
          <w:color w:val="000000"/>
        </w:rPr>
        <w:t> for </w:t>
      </w:r>
      <w:r w:rsidRPr="00DA25E8">
        <w:rPr>
          <w:rFonts w:ascii="Verdana" w:eastAsia="Times New Roman" w:hAnsi="Verdana" w:cs="Times New Roman"/>
          <w:b/>
          <w:bCs/>
          <w:color w:val="000000"/>
        </w:rPr>
        <w:t>Stelfonta</w:t>
      </w:r>
      <w:r w:rsidRPr="00DA25E8">
        <w:rPr>
          <w:rFonts w:ascii="Verdana" w:eastAsia="Times New Roman" w:hAnsi="Verdana" w:cs="Times New Roman"/>
          <w:color w:val="000000"/>
        </w:rPr>
        <w:t> (tigilanol tiglate), from QBiotics Netherlands B.V., a new product for the treatment of non-resectable, non-metastatic cutaneous and subcutaneous mast cell tumours in dogs. The product was classified as MUMS/limited market.</w:t>
      </w:r>
    </w:p>
    <w:p w14:paraId="1287480C"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by consensus a positive opinion for an initial </w:t>
      </w:r>
      <w:hyperlink r:id="rId6" w:tgtFrame="_blank" w:tooltip="An application made to a European regulatory authority for approval to market a medicine within the European Union." w:history="1">
        <w:r w:rsidRPr="00DA25E8">
          <w:rPr>
            <w:rFonts w:ascii="Verdana" w:eastAsia="Times New Roman" w:hAnsi="Verdana" w:cs="Times New Roman"/>
            <w:color w:val="000000"/>
            <w:u w:val="single"/>
          </w:rPr>
          <w:t>marketing authorisation application</w:t>
        </w:r>
      </w:hyperlink>
      <w:r w:rsidRPr="00DA25E8">
        <w:rPr>
          <w:rFonts w:ascii="Verdana" w:eastAsia="Times New Roman" w:hAnsi="Verdana" w:cs="Times New Roman"/>
          <w:color w:val="000000"/>
        </w:rPr>
        <w:t> for </w:t>
      </w:r>
      <w:r w:rsidRPr="00DA25E8">
        <w:rPr>
          <w:rFonts w:ascii="Verdana" w:eastAsia="Times New Roman" w:hAnsi="Verdana" w:cs="Times New Roman"/>
          <w:b/>
          <w:bCs/>
          <w:color w:val="000000"/>
        </w:rPr>
        <w:t>Aservo EquiHaler </w:t>
      </w:r>
      <w:r w:rsidRPr="00DA25E8">
        <w:rPr>
          <w:rFonts w:ascii="Verdana" w:eastAsia="Times New Roman" w:hAnsi="Verdana" w:cs="Times New Roman"/>
          <w:color w:val="000000"/>
        </w:rPr>
        <w:t>(ciclesonide), from Boehringer Ingelheim Vetmedica GmbH, a new product for the treatment of horses with clinical signs of severe equine asthma. The product was classified as MUMS/limited market.</w:t>
      </w:r>
    </w:p>
    <w:p w14:paraId="6AE3B099"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by consensus a positive opinion for a </w:t>
      </w:r>
      <w:hyperlink r:id="rId7"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DA25E8">
          <w:rPr>
            <w:rFonts w:ascii="Verdana" w:eastAsia="Times New Roman" w:hAnsi="Verdana" w:cs="Times New Roman"/>
            <w:color w:val="000000"/>
            <w:u w:val="single"/>
          </w:rPr>
          <w:t>type II variation</w:t>
        </w:r>
      </w:hyperlink>
      <w:r w:rsidRPr="00DA25E8">
        <w:rPr>
          <w:rFonts w:ascii="Verdana" w:eastAsia="Times New Roman" w:hAnsi="Verdana" w:cs="Times New Roman"/>
          <w:color w:val="000000"/>
        </w:rPr>
        <w:t> application for </w:t>
      </w:r>
      <w:r w:rsidRPr="00DA25E8">
        <w:rPr>
          <w:rFonts w:ascii="Verdana" w:eastAsia="Times New Roman" w:hAnsi="Verdana" w:cs="Times New Roman"/>
          <w:b/>
          <w:bCs/>
          <w:color w:val="000000"/>
        </w:rPr>
        <w:t>Bravecto Plus </w:t>
      </w:r>
      <w:r w:rsidRPr="00DA25E8">
        <w:rPr>
          <w:rFonts w:ascii="Verdana" w:eastAsia="Times New Roman" w:hAnsi="Verdana" w:cs="Times New Roman"/>
          <w:color w:val="000000"/>
        </w:rPr>
        <w:t>concerning the modification of the approved therapeutic </w:t>
      </w:r>
      <w:hyperlink r:id="rId8" w:tgtFrame="_blank" w:tooltip="A medical condition that a medicine is used for. This can include the treatment, prevention and diagnosis of a disease." w:history="1">
        <w:r w:rsidRPr="00DA25E8">
          <w:rPr>
            <w:rFonts w:ascii="Verdana" w:eastAsia="Times New Roman" w:hAnsi="Verdana" w:cs="Times New Roman"/>
            <w:color w:val="000000"/>
            <w:u w:val="single"/>
          </w:rPr>
          <w:t>indication</w:t>
        </w:r>
      </w:hyperlink>
      <w:r w:rsidRPr="00DA25E8">
        <w:rPr>
          <w:rFonts w:ascii="Verdana" w:eastAsia="Times New Roman" w:hAnsi="Verdana" w:cs="Times New Roman"/>
          <w:color w:val="000000"/>
        </w:rPr>
        <w:t> for the prevention of heartworm disease caused by </w:t>
      </w:r>
      <w:r w:rsidRPr="00DA25E8">
        <w:rPr>
          <w:rFonts w:ascii="Verdana" w:eastAsia="Times New Roman" w:hAnsi="Verdana" w:cs="Times New Roman"/>
          <w:i/>
          <w:iCs/>
          <w:color w:val="000000"/>
        </w:rPr>
        <w:t>Dirofilaria immitis</w:t>
      </w:r>
      <w:r w:rsidRPr="00DA25E8">
        <w:rPr>
          <w:rFonts w:ascii="Verdana" w:eastAsia="Times New Roman" w:hAnsi="Verdana" w:cs="Times New Roman"/>
          <w:color w:val="000000"/>
        </w:rPr>
        <w:t>, i.e. to extend the duration of prevention from 8 weeks to 12 weeks.</w:t>
      </w:r>
    </w:p>
    <w:p w14:paraId="3BFADF49"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by consensus positive opinions for type II grouped </w:t>
      </w:r>
      <w:hyperlink r:id="rId9" w:tgtFrame="_blank" w:tooltip="A change to the terms of a marketing authorisation. &#13; &#13; More information can be found under 'Variations'." w:history="1">
        <w:r w:rsidRPr="00DA25E8">
          <w:rPr>
            <w:rFonts w:ascii="Verdana" w:eastAsia="Times New Roman" w:hAnsi="Verdana" w:cs="Times New Roman"/>
            <w:color w:val="000000"/>
            <w:u w:val="single"/>
          </w:rPr>
          <w:t>variation</w:t>
        </w:r>
      </w:hyperlink>
      <w:r w:rsidRPr="00DA25E8">
        <w:rPr>
          <w:rFonts w:ascii="Verdana" w:eastAsia="Times New Roman" w:hAnsi="Verdana" w:cs="Times New Roman"/>
          <w:color w:val="000000"/>
        </w:rPr>
        <w:t> applications for </w:t>
      </w:r>
      <w:r w:rsidRPr="00DA25E8">
        <w:rPr>
          <w:rFonts w:ascii="Verdana" w:eastAsia="Times New Roman" w:hAnsi="Verdana" w:cs="Times New Roman"/>
          <w:b/>
          <w:bCs/>
          <w:color w:val="000000"/>
        </w:rPr>
        <w:t>Exzolt</w:t>
      </w:r>
      <w:r w:rsidRPr="00DA25E8">
        <w:rPr>
          <w:rFonts w:ascii="Verdana" w:eastAsia="Times New Roman" w:hAnsi="Verdana" w:cs="Times New Roman"/>
          <w:color w:val="000000"/>
        </w:rPr>
        <w:t>, </w:t>
      </w:r>
      <w:r w:rsidRPr="00DA25E8">
        <w:rPr>
          <w:rFonts w:ascii="Verdana" w:eastAsia="Times New Roman" w:hAnsi="Verdana" w:cs="Times New Roman"/>
          <w:b/>
          <w:bCs/>
          <w:color w:val="000000"/>
        </w:rPr>
        <w:t>Poulvac E. Coli </w:t>
      </w:r>
      <w:r w:rsidRPr="00DA25E8">
        <w:rPr>
          <w:rFonts w:ascii="Verdana" w:eastAsia="Times New Roman" w:hAnsi="Verdana" w:cs="Times New Roman"/>
          <w:color w:val="000000"/>
        </w:rPr>
        <w:t>and</w:t>
      </w:r>
      <w:r w:rsidRPr="00DA25E8">
        <w:rPr>
          <w:rFonts w:ascii="Verdana" w:eastAsia="Times New Roman" w:hAnsi="Verdana" w:cs="Times New Roman"/>
          <w:b/>
          <w:bCs/>
          <w:color w:val="000000"/>
        </w:rPr>
        <w:t> ProZinc</w:t>
      </w:r>
      <w:r w:rsidRPr="00DA25E8">
        <w:rPr>
          <w:rFonts w:ascii="Verdana" w:eastAsia="Times New Roman" w:hAnsi="Verdana" w:cs="Times New Roman"/>
          <w:color w:val="000000"/>
        </w:rPr>
        <w:t>, all concerning quality changes.</w:t>
      </w:r>
    </w:p>
    <w:p w14:paraId="2254B72F"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also adopted by consensus a positive opinion for a type II grouped </w:t>
      </w:r>
      <w:hyperlink r:id="rId10" w:tgtFrame="_blank" w:tooltip="A change to the terms of a marketing authorisation. &#13; &#13; More information can be found under 'Variations'." w:history="1">
        <w:r w:rsidRPr="00DA25E8">
          <w:rPr>
            <w:rFonts w:ascii="Verdana" w:eastAsia="Times New Roman" w:hAnsi="Verdana" w:cs="Times New Roman"/>
            <w:color w:val="000000"/>
            <w:u w:val="single"/>
          </w:rPr>
          <w:t>variation</w:t>
        </w:r>
      </w:hyperlink>
      <w:r w:rsidRPr="00DA25E8">
        <w:rPr>
          <w:rFonts w:ascii="Verdana" w:eastAsia="Times New Roman" w:hAnsi="Verdana" w:cs="Times New Roman"/>
          <w:color w:val="000000"/>
        </w:rPr>
        <w:t> application (subject to a </w:t>
      </w:r>
      <w:hyperlink r:id="rId11" w:tgtFrame="_blank" w:tooltip="The submission of a single application for a variation that affects more than one marketing authorisation from the same marketing authorisation holder. &#13; &#13; More information can be found under 'Worksharing -  questions and answers'." w:history="1">
        <w:r w:rsidRPr="00DA25E8">
          <w:rPr>
            <w:rFonts w:ascii="Verdana" w:eastAsia="Times New Roman" w:hAnsi="Verdana" w:cs="Times New Roman"/>
            <w:color w:val="000000"/>
            <w:u w:val="single"/>
          </w:rPr>
          <w:t>worksharing</w:t>
        </w:r>
      </w:hyperlink>
      <w:r w:rsidRPr="00DA25E8">
        <w:rPr>
          <w:rFonts w:ascii="Verdana" w:eastAsia="Times New Roman" w:hAnsi="Verdana" w:cs="Times New Roman"/>
          <w:color w:val="000000"/>
        </w:rPr>
        <w:t> procedure) for </w:t>
      </w:r>
      <w:r w:rsidRPr="00DA25E8">
        <w:rPr>
          <w:rFonts w:ascii="Verdana" w:eastAsia="Times New Roman" w:hAnsi="Verdana" w:cs="Times New Roman"/>
          <w:b/>
          <w:bCs/>
          <w:color w:val="000000"/>
        </w:rPr>
        <w:t>Vectormune ND </w:t>
      </w:r>
      <w:r w:rsidRPr="00DA25E8">
        <w:rPr>
          <w:rFonts w:ascii="Verdana" w:eastAsia="Times New Roman" w:hAnsi="Verdana" w:cs="Times New Roman"/>
          <w:color w:val="000000"/>
        </w:rPr>
        <w:t>and other related </w:t>
      </w:r>
      <w:hyperlink r:id="rId12" w:tgtFrame="_blank" w:tooltip="A medicine authorised in a Member State in accordance with its national authorisation procedure." w:history="1">
        <w:r w:rsidRPr="00DA25E8">
          <w:rPr>
            <w:rFonts w:ascii="Verdana" w:eastAsia="Times New Roman" w:hAnsi="Verdana" w:cs="Times New Roman"/>
            <w:color w:val="000000"/>
            <w:u w:val="single"/>
          </w:rPr>
          <w:t>nationally authorised products</w:t>
        </w:r>
      </w:hyperlink>
      <w:r w:rsidRPr="00DA25E8">
        <w:rPr>
          <w:rFonts w:ascii="Verdana" w:eastAsia="Times New Roman" w:hAnsi="Verdana" w:cs="Times New Roman"/>
          <w:color w:val="000000"/>
        </w:rPr>
        <w:t>, concerning quality changes.</w:t>
      </w:r>
    </w:p>
    <w:p w14:paraId="27043A60"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More information about the above-mentioned medicines, including their full </w:t>
      </w:r>
      <w:hyperlink r:id="rId13" w:tgtFrame="_blank" w:tooltip="A medical condition that a medicine is used for. This can include the treatment, prevention and diagnosis of a disease." w:history="1">
        <w:r w:rsidRPr="00DA25E8">
          <w:rPr>
            <w:rFonts w:ascii="Verdana" w:eastAsia="Times New Roman" w:hAnsi="Verdana" w:cs="Times New Roman"/>
            <w:color w:val="000000"/>
            <w:u w:val="single"/>
          </w:rPr>
          <w:t>indication</w:t>
        </w:r>
      </w:hyperlink>
      <w:r w:rsidRPr="00DA25E8">
        <w:rPr>
          <w:rFonts w:ascii="Verdana" w:eastAsia="Times New Roman" w:hAnsi="Verdana" w:cs="Times New Roman"/>
          <w:color w:val="000000"/>
        </w:rPr>
        <w:t>, will be published on the Agency’s website.</w:t>
      </w:r>
    </w:p>
    <w:p w14:paraId="68404678"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lastRenderedPageBreak/>
        <w:t>Renewals of marketing authorisations</w:t>
      </w:r>
    </w:p>
    <w:p w14:paraId="04DC6262"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by consensus positive opinions for the </w:t>
      </w:r>
      <w:hyperlink r:id="rId14" w:tgtFrame="_blank" w:tooltip="An extension of the validity of a marketing authorisation, which can be for a fixed or indefinite period of time. Initial marketing authorisations are usually valid for five years. &#13; &#13; More information can be found under 'Renewal and annual re-assessment of marketing authorisation'." w:history="1">
        <w:r w:rsidRPr="00DA25E8">
          <w:rPr>
            <w:rFonts w:ascii="Verdana" w:eastAsia="Times New Roman" w:hAnsi="Verdana" w:cs="Times New Roman"/>
            <w:color w:val="000000"/>
            <w:u w:val="single"/>
          </w:rPr>
          <w:t>renewal</w:t>
        </w:r>
      </w:hyperlink>
      <w:r w:rsidRPr="00DA25E8">
        <w:rPr>
          <w:rFonts w:ascii="Verdana" w:eastAsia="Times New Roman" w:hAnsi="Verdana" w:cs="Times New Roman"/>
          <w:color w:val="000000"/>
        </w:rPr>
        <w:t> of the </w:t>
      </w:r>
      <w:hyperlink r:id="rId15" w:tgtFrame="_blank" w:tooltip="The approval to market a medicine in one, several or all European Union Member States." w:history="1">
        <w:r w:rsidRPr="00DA25E8">
          <w:rPr>
            <w:rFonts w:ascii="Verdana" w:eastAsia="Times New Roman" w:hAnsi="Verdana" w:cs="Times New Roman"/>
            <w:color w:val="000000"/>
            <w:u w:val="single"/>
          </w:rPr>
          <w:t>marketing authorisations</w:t>
        </w:r>
      </w:hyperlink>
      <w:r w:rsidRPr="00DA25E8">
        <w:rPr>
          <w:rFonts w:ascii="Verdana" w:eastAsia="Times New Roman" w:hAnsi="Verdana" w:cs="Times New Roman"/>
          <w:color w:val="000000"/>
        </w:rPr>
        <w:t> for </w:t>
      </w:r>
      <w:r w:rsidRPr="00DA25E8">
        <w:rPr>
          <w:rFonts w:ascii="Verdana" w:eastAsia="Times New Roman" w:hAnsi="Verdana" w:cs="Times New Roman"/>
          <w:b/>
          <w:bCs/>
          <w:color w:val="000000"/>
        </w:rPr>
        <w:t>Coliprotec F4</w:t>
      </w:r>
      <w:r w:rsidRPr="00DA25E8">
        <w:rPr>
          <w:rFonts w:ascii="Verdana" w:eastAsia="Times New Roman" w:hAnsi="Verdana" w:cs="Times New Roman"/>
          <w:color w:val="000000"/>
        </w:rPr>
        <w:t> and </w:t>
      </w:r>
      <w:r w:rsidRPr="00DA25E8">
        <w:rPr>
          <w:rFonts w:ascii="Verdana" w:eastAsia="Times New Roman" w:hAnsi="Verdana" w:cs="Times New Roman"/>
          <w:b/>
          <w:bCs/>
          <w:color w:val="000000"/>
        </w:rPr>
        <w:t>Zulvac SBV</w:t>
      </w:r>
      <w:r w:rsidRPr="00DA25E8">
        <w:rPr>
          <w:rFonts w:ascii="Verdana" w:eastAsia="Times New Roman" w:hAnsi="Verdana" w:cs="Times New Roman"/>
          <w:color w:val="000000"/>
        </w:rPr>
        <w:t>. The Committee, having re-assessed the benefit-risk balance of these products, concluded that the quality, safety and </w:t>
      </w:r>
      <w:hyperlink r:id="rId16" w:tgtFrame="_blank" w:tooltip="The measurement of a medicine's desired effect under ideal conditions, such as in a clinical trial." w:history="1">
        <w:r w:rsidRPr="00DA25E8">
          <w:rPr>
            <w:rFonts w:ascii="Verdana" w:eastAsia="Times New Roman" w:hAnsi="Verdana" w:cs="Times New Roman"/>
            <w:color w:val="000000"/>
            <w:u w:val="single"/>
          </w:rPr>
          <w:t>efficacy</w:t>
        </w:r>
      </w:hyperlink>
      <w:r w:rsidRPr="00DA25E8">
        <w:rPr>
          <w:rFonts w:ascii="Verdana" w:eastAsia="Times New Roman" w:hAnsi="Verdana" w:cs="Times New Roman"/>
          <w:color w:val="000000"/>
        </w:rPr>
        <w:t> continue to be appropriately demonstrated and, therefore, recommended the </w:t>
      </w:r>
      <w:hyperlink r:id="rId17" w:tgtFrame="_blank" w:tooltip="An extension of the validity of a marketing authorisation, which can be for a fixed or indefinite period of time. Initial marketing authorisations are usually valid for five years. &#13; &#13; More information can be found under 'Renewal and annual re-assessment of marketing authorisation'." w:history="1">
        <w:r w:rsidRPr="00DA25E8">
          <w:rPr>
            <w:rFonts w:ascii="Verdana" w:eastAsia="Times New Roman" w:hAnsi="Verdana" w:cs="Times New Roman"/>
            <w:color w:val="000000"/>
            <w:u w:val="single"/>
          </w:rPr>
          <w:t>renewal</w:t>
        </w:r>
      </w:hyperlink>
      <w:r w:rsidRPr="00DA25E8">
        <w:rPr>
          <w:rFonts w:ascii="Verdana" w:eastAsia="Times New Roman" w:hAnsi="Verdana" w:cs="Times New Roman"/>
          <w:color w:val="000000"/>
        </w:rPr>
        <w:t> of the </w:t>
      </w:r>
      <w:hyperlink r:id="rId18" w:tgtFrame="_blank" w:tooltip="The approval to market a medicine in one, several or all European Union Member States." w:history="1">
        <w:r w:rsidRPr="00DA25E8">
          <w:rPr>
            <w:rFonts w:ascii="Verdana" w:eastAsia="Times New Roman" w:hAnsi="Verdana" w:cs="Times New Roman"/>
            <w:color w:val="000000"/>
            <w:u w:val="single"/>
          </w:rPr>
          <w:t>marketing authorisations</w:t>
        </w:r>
      </w:hyperlink>
      <w:r w:rsidRPr="00DA25E8">
        <w:rPr>
          <w:rFonts w:ascii="Verdana" w:eastAsia="Times New Roman" w:hAnsi="Verdana" w:cs="Times New Roman"/>
          <w:color w:val="000000"/>
        </w:rPr>
        <w:t>.</w:t>
      </w:r>
    </w:p>
    <w:p w14:paraId="15B6F596"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Community referrals and related procedures</w:t>
      </w:r>
    </w:p>
    <w:p w14:paraId="26F846DF"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started a </w:t>
      </w:r>
      <w:hyperlink r:id="rId19" w:tgtFrame="_blank" w:tooltip="An evaluation conducted by a European Medicines Agency committee following a referral from the European Commission or a Member State. Referrals are used to address particular issues, such as safety concerns, to resolve disagreements between Member States on issues related to the authorisation of medicines or to give an opinion on an issue of Europe-wide interest. &#13; &#13; More information can be found under referral procedures (human) and referral procedures (veterinary)." w:history="1">
        <w:r w:rsidRPr="00DA25E8">
          <w:rPr>
            <w:rFonts w:ascii="Verdana" w:eastAsia="Times New Roman" w:hAnsi="Verdana" w:cs="Times New Roman"/>
            <w:color w:val="000000"/>
            <w:u w:val="single"/>
          </w:rPr>
          <w:t>referral</w:t>
        </w:r>
      </w:hyperlink>
      <w:r w:rsidRPr="00DA25E8">
        <w:rPr>
          <w:rFonts w:ascii="Verdana" w:eastAsia="Times New Roman" w:hAnsi="Verdana" w:cs="Times New Roman"/>
          <w:color w:val="000000"/>
        </w:rPr>
        <w:t> procedure for veterinary </w:t>
      </w:r>
      <w:hyperlink r:id="rId20" w:tgtFrame="_blank" w:tooltip="A substance or combination of substances that is intended to treat, prevent or diagnose a disease, or to restore, correct or modify physiological functions by exerting a pharmacological, immunological or metabolic action." w:history="1">
        <w:r w:rsidRPr="00DA25E8">
          <w:rPr>
            <w:rFonts w:ascii="Verdana" w:eastAsia="Times New Roman" w:hAnsi="Verdana" w:cs="Times New Roman"/>
            <w:color w:val="000000"/>
            <w:u w:val="single"/>
          </w:rPr>
          <w:t>medicinal products</w:t>
        </w:r>
      </w:hyperlink>
      <w:r w:rsidRPr="00DA25E8">
        <w:rPr>
          <w:rFonts w:ascii="Verdana" w:eastAsia="Times New Roman" w:hAnsi="Verdana" w:cs="Times New Roman"/>
          <w:color w:val="000000"/>
        </w:rPr>
        <w:t> containing</w:t>
      </w:r>
      <w:r w:rsidRPr="00DA25E8">
        <w:rPr>
          <w:rFonts w:ascii="Verdana" w:eastAsia="Times New Roman" w:hAnsi="Verdana" w:cs="Times New Roman"/>
          <w:b/>
          <w:bCs/>
          <w:color w:val="000000"/>
        </w:rPr>
        <w:t> tiamulin hydrogen fumarate for pigs </w:t>
      </w:r>
      <w:r w:rsidRPr="00DA25E8">
        <w:rPr>
          <w:rFonts w:ascii="Verdana" w:eastAsia="Times New Roman" w:hAnsi="Verdana" w:cs="Times New Roman"/>
          <w:color w:val="000000"/>
        </w:rPr>
        <w:t>presented </w:t>
      </w:r>
      <w:r w:rsidRPr="00DA25E8">
        <w:rPr>
          <w:rFonts w:ascii="Verdana" w:eastAsia="Times New Roman" w:hAnsi="Verdana" w:cs="Times New Roman"/>
          <w:b/>
          <w:bCs/>
          <w:color w:val="000000"/>
        </w:rPr>
        <w:t>as premix for medicated feeding stuff and oral powder for in-feed use</w:t>
      </w:r>
      <w:r w:rsidRPr="00DA25E8">
        <w:rPr>
          <w:rFonts w:ascii="Verdana" w:eastAsia="Times New Roman" w:hAnsi="Verdana" w:cs="Times New Roman"/>
          <w:color w:val="000000"/>
        </w:rPr>
        <w:t>. The matter was referred to the Committee by Belgium under Article 35 of Directive 2001/82/EC due to concerns relating to the </w:t>
      </w:r>
      <w:hyperlink r:id="rId21" w:tgtFrame="_blank" w:tooltip="The measurement of a medicine's desired effect under ideal conditions, such as in a clinical trial." w:history="1">
        <w:r w:rsidRPr="00DA25E8">
          <w:rPr>
            <w:rFonts w:ascii="Verdana" w:eastAsia="Times New Roman" w:hAnsi="Verdana" w:cs="Times New Roman"/>
            <w:color w:val="000000"/>
            <w:u w:val="single"/>
          </w:rPr>
          <w:t>efficacy</w:t>
        </w:r>
      </w:hyperlink>
      <w:r w:rsidRPr="00DA25E8">
        <w:rPr>
          <w:rFonts w:ascii="Verdana" w:eastAsia="Times New Roman" w:hAnsi="Verdana" w:cs="Times New Roman"/>
          <w:color w:val="000000"/>
        </w:rPr>
        <w:t> of tiamulin for prevention or metaphylaxis of swine dysentery caused by </w:t>
      </w:r>
      <w:r w:rsidRPr="00DA25E8">
        <w:rPr>
          <w:rFonts w:ascii="Verdana" w:eastAsia="Times New Roman" w:hAnsi="Verdana" w:cs="Times New Roman"/>
          <w:i/>
          <w:iCs/>
          <w:color w:val="000000"/>
        </w:rPr>
        <w:t>Brachyspira hyodysenteriae</w:t>
      </w:r>
      <w:r w:rsidRPr="00DA25E8">
        <w:rPr>
          <w:rFonts w:ascii="Verdana" w:eastAsia="Times New Roman" w:hAnsi="Verdana" w:cs="Times New Roman"/>
          <w:color w:val="000000"/>
        </w:rPr>
        <w:t>.</w:t>
      </w:r>
    </w:p>
    <w:p w14:paraId="1DC3A883" w14:textId="77777777" w:rsidR="00DA25E8" w:rsidRPr="00DA25E8" w:rsidRDefault="00DA25E8" w:rsidP="00DA25E8">
      <w:pPr>
        <w:spacing w:before="100" w:beforeAutospacing="1" w:after="100" w:afterAutospacing="1"/>
        <w:rPr>
          <w:rFonts w:ascii="Verdana" w:eastAsia="Times New Roman" w:hAnsi="Verdana" w:cs="Times New Roman"/>
          <w:color w:val="000000"/>
        </w:rPr>
      </w:pPr>
      <w:r w:rsidRPr="00DA25E8">
        <w:rPr>
          <w:rFonts w:ascii="Verdana" w:eastAsia="Times New Roman" w:hAnsi="Verdana" w:cs="Times New Roman"/>
          <w:color w:val="000000"/>
        </w:rPr>
        <w:t>The Committee started a procedure for </w:t>
      </w:r>
      <w:r w:rsidRPr="00DA25E8">
        <w:rPr>
          <w:rFonts w:ascii="Verdana" w:eastAsia="Times New Roman" w:hAnsi="Verdana" w:cs="Times New Roman"/>
          <w:b/>
          <w:bCs/>
          <w:color w:val="000000"/>
        </w:rPr>
        <w:t>Suvaxyn PRRS MLV </w:t>
      </w:r>
      <w:r w:rsidRPr="00DA25E8">
        <w:rPr>
          <w:rFonts w:ascii="Verdana" w:eastAsia="Times New Roman" w:hAnsi="Verdana" w:cs="Times New Roman"/>
          <w:color w:val="000000"/>
        </w:rPr>
        <w:t>(porcine respiratory and reproductive syndrome virus vaccine (live)) from Zoetis. The matter was notified to the Committee by the European Commission under Article 45 of Regulation (EC) No. 726/2004 due to concerns for animal health.</w:t>
      </w:r>
    </w:p>
    <w:p w14:paraId="762478B6"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Scientific advice</w:t>
      </w:r>
    </w:p>
    <w:p w14:paraId="7037D720"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one </w:t>
      </w:r>
      <w:hyperlink r:id="rId22"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DA25E8">
          <w:rPr>
            <w:rFonts w:ascii="Verdana" w:eastAsia="Times New Roman" w:hAnsi="Verdana" w:cs="Times New Roman"/>
            <w:color w:val="000000"/>
            <w:u w:val="single"/>
          </w:rPr>
          <w:t>scientific advice</w:t>
        </w:r>
      </w:hyperlink>
      <w:r w:rsidRPr="00DA25E8">
        <w:rPr>
          <w:rFonts w:ascii="Verdana" w:eastAsia="Times New Roman" w:hAnsi="Verdana" w:cs="Times New Roman"/>
          <w:color w:val="000000"/>
        </w:rPr>
        <w:t> report further to a request for initial advice on safety and </w:t>
      </w:r>
      <w:hyperlink r:id="rId23" w:tgtFrame="_blank" w:tooltip="The measurement of a medicine's desired effect under ideal conditions, such as in a clinical trial." w:history="1">
        <w:r w:rsidRPr="00DA25E8">
          <w:rPr>
            <w:rFonts w:ascii="Verdana" w:eastAsia="Times New Roman" w:hAnsi="Verdana" w:cs="Times New Roman"/>
            <w:color w:val="000000"/>
            <w:u w:val="single"/>
          </w:rPr>
          <w:t>efficacy</w:t>
        </w:r>
      </w:hyperlink>
      <w:r w:rsidRPr="00DA25E8">
        <w:rPr>
          <w:rFonts w:ascii="Verdana" w:eastAsia="Times New Roman" w:hAnsi="Verdana" w:cs="Times New Roman"/>
          <w:color w:val="000000"/>
        </w:rPr>
        <w:t>issues for an antimicrobial veterinary </w:t>
      </w:r>
      <w:hyperlink r:id="rId24" w:tgtFrame="_blank" w:tooltip="A substance or combination of substances that is intended to treat, prevent or diagnose a disease, or to restore, correct or modify physiological functions by exerting a pharmacological, immunological or metabolic action." w:history="1">
        <w:r w:rsidRPr="00DA25E8">
          <w:rPr>
            <w:rFonts w:ascii="Verdana" w:eastAsia="Times New Roman" w:hAnsi="Verdana" w:cs="Times New Roman"/>
            <w:color w:val="000000"/>
            <w:u w:val="single"/>
          </w:rPr>
          <w:t>medicinal product</w:t>
        </w:r>
      </w:hyperlink>
      <w:r w:rsidRPr="00DA25E8">
        <w:rPr>
          <w:rFonts w:ascii="Verdana" w:eastAsia="Times New Roman" w:hAnsi="Verdana" w:cs="Times New Roman"/>
          <w:color w:val="000000"/>
        </w:rPr>
        <w:t> for dogs.</w:t>
      </w:r>
    </w:p>
    <w:p w14:paraId="2944CDF4"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Minor use, minor species (MUMS)/limited market</w:t>
      </w:r>
    </w:p>
    <w:p w14:paraId="4F9DCFB3"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a </w:t>
      </w:r>
      <w:hyperlink r:id="rId25" w:tgtFrame="_blank" w:tooltip="A document prepared by a European Medicines Agency working party prior to the drafting of a guideline, setting out the problem, the scope of the work, the resources needed and the timeframe. &#13; &#13; More informationcan be found in the 'Procedure for European Union guidelines and related documents within the pharmaceutical legislative framework'." w:history="1">
        <w:r w:rsidRPr="00DA25E8">
          <w:rPr>
            <w:rFonts w:ascii="Verdana" w:eastAsia="Times New Roman" w:hAnsi="Verdana" w:cs="Times New Roman"/>
            <w:color w:val="000000"/>
            <w:u w:val="single"/>
          </w:rPr>
          <w:t>concept paper</w:t>
        </w:r>
      </w:hyperlink>
      <w:r w:rsidRPr="00DA25E8">
        <w:rPr>
          <w:rFonts w:ascii="Verdana" w:eastAsia="Times New Roman" w:hAnsi="Verdana" w:cs="Times New Roman"/>
          <w:color w:val="000000"/>
        </w:rPr>
        <w:t> for the revision of scientific </w:t>
      </w:r>
      <w:hyperlink r:id="rId26"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DA25E8">
          <w:rPr>
            <w:rFonts w:ascii="Verdana" w:eastAsia="Times New Roman" w:hAnsi="Verdana" w:cs="Times New Roman"/>
            <w:color w:val="000000"/>
            <w:u w:val="single"/>
          </w:rPr>
          <w:t>guidelines</w:t>
        </w:r>
      </w:hyperlink>
      <w:r w:rsidRPr="00DA25E8">
        <w:rPr>
          <w:rFonts w:ascii="Verdana" w:eastAsia="Times New Roman" w:hAnsi="Verdana" w:cs="Times New Roman"/>
          <w:color w:val="000000"/>
        </w:rPr>
        <w:t> on MUMS/limited markets for veterinary </w:t>
      </w:r>
      <w:hyperlink r:id="rId27" w:tgtFrame="_blank" w:tooltip="A substance or combination of substances that is intended to treat, prevent or diagnose a disease, or to restore, correct or modify physiological functions by exerting a pharmacological, immunological or metabolic action." w:history="1">
        <w:r w:rsidRPr="00DA25E8">
          <w:rPr>
            <w:rFonts w:ascii="Verdana" w:eastAsia="Times New Roman" w:hAnsi="Verdana" w:cs="Times New Roman"/>
            <w:color w:val="000000"/>
            <w:u w:val="single"/>
          </w:rPr>
          <w:t>medicinal products</w:t>
        </w:r>
      </w:hyperlink>
      <w:r w:rsidRPr="00DA25E8">
        <w:rPr>
          <w:rFonts w:ascii="Verdana" w:eastAsia="Times New Roman" w:hAnsi="Verdana" w:cs="Times New Roman"/>
          <w:color w:val="000000"/>
        </w:rPr>
        <w:t> (EMA/</w:t>
      </w:r>
      <w:hyperlink r:id="rId28"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DA25E8">
          <w:rPr>
            <w:rFonts w:ascii="Verdana" w:eastAsia="Times New Roman" w:hAnsi="Verdana" w:cs="Times New Roman"/>
            <w:color w:val="000000"/>
            <w:u w:val="single"/>
          </w:rPr>
          <w:t>CVMP</w:t>
        </w:r>
      </w:hyperlink>
      <w:r w:rsidRPr="00DA25E8">
        <w:rPr>
          <w:rFonts w:ascii="Verdana" w:eastAsia="Times New Roman" w:hAnsi="Verdana" w:cs="Times New Roman"/>
          <w:color w:val="000000"/>
        </w:rPr>
        <w:t>/538961/2019) for a 2-month period of public consultation in order to take into account the new provisions concerning limited markets in Regulation (EU) 2019/6, which will become applicable in January 2022.</w:t>
      </w:r>
    </w:p>
    <w:p w14:paraId="7435D97F"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Following the Committee’s review of two requests for classification under the MUMS/limited market policy, the </w:t>
      </w:r>
      <w:hyperlink r:id="rId29"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DA25E8">
          <w:rPr>
            <w:rFonts w:ascii="Verdana" w:eastAsia="Times New Roman" w:hAnsi="Verdana" w:cs="Times New Roman"/>
            <w:color w:val="000000"/>
            <w:u w:val="single"/>
          </w:rPr>
          <w:t>CVMP</w:t>
        </w:r>
      </w:hyperlink>
      <w:r w:rsidRPr="00DA25E8">
        <w:rPr>
          <w:rFonts w:ascii="Verdana" w:eastAsia="Times New Roman" w:hAnsi="Verdana" w:cs="Times New Roman"/>
          <w:color w:val="000000"/>
        </w:rPr>
        <w:t> classified:</w:t>
      </w:r>
    </w:p>
    <w:p w14:paraId="50E5C450" w14:textId="77777777" w:rsidR="00DA25E8" w:rsidRPr="00DA25E8" w:rsidRDefault="00DA25E8" w:rsidP="00DA25E8">
      <w:pPr>
        <w:numPr>
          <w:ilvl w:val="0"/>
          <w:numId w:val="1"/>
        </w:num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lastRenderedPageBreak/>
        <w:t>A product (nervous system) for </w:t>
      </w:r>
      <w:hyperlink r:id="rId30" w:tgtFrame="_blank" w:tooltip="Committee for Advanced Therapies -  the committee that is responsible for assessing the quality, safety and efficacy of advanced-therapy medicines, including medicines classified as gene therapy, somatic-cell therapy or tissue-engineered products. &#13; &#13; More information can be found under 'Committee for Advanced Therapies (CAT)'." w:history="1">
        <w:r w:rsidRPr="00DA25E8">
          <w:rPr>
            <w:rFonts w:ascii="Verdana" w:eastAsia="Times New Roman" w:hAnsi="Verdana" w:cs="Times New Roman"/>
            <w:color w:val="000000"/>
            <w:u w:val="single"/>
          </w:rPr>
          <w:t>cats</w:t>
        </w:r>
      </w:hyperlink>
      <w:r w:rsidRPr="00DA25E8">
        <w:rPr>
          <w:rFonts w:ascii="Verdana" w:eastAsia="Times New Roman" w:hAnsi="Verdana" w:cs="Times New Roman"/>
          <w:color w:val="000000"/>
        </w:rPr>
        <w:t> as not indicated for MUMS/limited market.</w:t>
      </w:r>
    </w:p>
    <w:p w14:paraId="19A90F8D" w14:textId="77777777" w:rsidR="00DA25E8" w:rsidRPr="00DA25E8" w:rsidRDefault="00DA25E8" w:rsidP="00DA25E8">
      <w:pPr>
        <w:numPr>
          <w:ilvl w:val="0"/>
          <w:numId w:val="1"/>
        </w:numPr>
        <w:spacing w:before="100" w:beforeAutospacing="1" w:after="100" w:afterAutospacing="1"/>
        <w:rPr>
          <w:rFonts w:ascii="Verdana" w:eastAsia="Times New Roman" w:hAnsi="Verdana" w:cs="Times New Roman"/>
          <w:color w:val="000000"/>
        </w:rPr>
      </w:pPr>
      <w:r w:rsidRPr="00DA25E8">
        <w:rPr>
          <w:rFonts w:ascii="Verdana" w:eastAsia="Times New Roman" w:hAnsi="Verdana" w:cs="Times New Roman"/>
          <w:color w:val="000000"/>
        </w:rPr>
        <w:t>A product (nervous system) for dogs as indicated for MUMS/limited market and eligible for reduced data requirements, where applicable. The product is not eligible for financial incentives as is intended for use in non-food producing species.</w:t>
      </w:r>
    </w:p>
    <w:p w14:paraId="05C64993"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Following the Committee’s review of one request for reclassification under the MUMS/limited market policy, the </w:t>
      </w:r>
      <w:hyperlink r:id="rId31"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DA25E8">
          <w:rPr>
            <w:rFonts w:ascii="Verdana" w:eastAsia="Times New Roman" w:hAnsi="Verdana" w:cs="Times New Roman"/>
            <w:color w:val="000000"/>
            <w:u w:val="single"/>
          </w:rPr>
          <w:t>CVMP</w:t>
        </w:r>
      </w:hyperlink>
      <w:r w:rsidRPr="00DA25E8">
        <w:rPr>
          <w:rFonts w:ascii="Verdana" w:eastAsia="Times New Roman" w:hAnsi="Verdana" w:cs="Times New Roman"/>
          <w:color w:val="000000"/>
        </w:rPr>
        <w:t> reclassified a product (antineoplastic and immunomodulating agents) for dogs as indicated for MUMS/limited market and eligible for reduced data requirements, where applicable. The product is not eligible for financial incentives as is intended for use in non-food-producing species.</w:t>
      </w:r>
    </w:p>
    <w:p w14:paraId="23014C78"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Pharmacovigilance</w:t>
      </w:r>
    </w:p>
    <w:p w14:paraId="03DF56B0"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reviewed the PSURs for </w:t>
      </w:r>
      <w:r w:rsidRPr="00DA25E8">
        <w:rPr>
          <w:rFonts w:ascii="Verdana" w:eastAsia="Times New Roman" w:hAnsi="Verdana" w:cs="Times New Roman"/>
          <w:b/>
          <w:bCs/>
          <w:color w:val="000000"/>
        </w:rPr>
        <w:t>Letifend</w:t>
      </w:r>
      <w:r w:rsidRPr="00DA25E8">
        <w:rPr>
          <w:rFonts w:ascii="Verdana" w:eastAsia="Times New Roman" w:hAnsi="Verdana" w:cs="Times New Roman"/>
          <w:color w:val="000000"/>
        </w:rPr>
        <w:t>, </w:t>
      </w:r>
      <w:r w:rsidRPr="00DA25E8">
        <w:rPr>
          <w:rFonts w:ascii="Verdana" w:eastAsia="Times New Roman" w:hAnsi="Verdana" w:cs="Times New Roman"/>
          <w:b/>
          <w:bCs/>
          <w:color w:val="000000"/>
        </w:rPr>
        <w:t>Osurnia</w:t>
      </w:r>
      <w:r w:rsidRPr="00DA25E8">
        <w:rPr>
          <w:rFonts w:ascii="Verdana" w:eastAsia="Times New Roman" w:hAnsi="Verdana" w:cs="Times New Roman"/>
          <w:color w:val="000000"/>
        </w:rPr>
        <w:t>, </w:t>
      </w:r>
      <w:r w:rsidRPr="00DA25E8">
        <w:rPr>
          <w:rFonts w:ascii="Verdana" w:eastAsia="Times New Roman" w:hAnsi="Verdana" w:cs="Times New Roman"/>
          <w:b/>
          <w:bCs/>
          <w:color w:val="000000"/>
        </w:rPr>
        <w:t>Simparica &amp; MiPet Easecto </w:t>
      </w:r>
      <w:r w:rsidRPr="00DA25E8">
        <w:rPr>
          <w:rFonts w:ascii="Verdana" w:eastAsia="Times New Roman" w:hAnsi="Verdana" w:cs="Times New Roman"/>
          <w:color w:val="000000"/>
        </w:rPr>
        <w:t>and </w:t>
      </w:r>
      <w:r w:rsidRPr="00DA25E8">
        <w:rPr>
          <w:rFonts w:ascii="Verdana" w:eastAsia="Times New Roman" w:hAnsi="Verdana" w:cs="Times New Roman"/>
          <w:b/>
          <w:bCs/>
          <w:color w:val="000000"/>
        </w:rPr>
        <w:t>Zycortal</w:t>
      </w:r>
      <w:r w:rsidRPr="00DA25E8">
        <w:rPr>
          <w:rFonts w:ascii="Verdana" w:eastAsia="Times New Roman" w:hAnsi="Verdana" w:cs="Times New Roman"/>
          <w:color w:val="000000"/>
        </w:rPr>
        <w:t>, and recommended changes to their </w:t>
      </w:r>
      <w:hyperlink r:id="rId32"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DA25E8">
          <w:rPr>
            <w:rFonts w:ascii="Verdana" w:eastAsia="Times New Roman" w:hAnsi="Verdana" w:cs="Times New Roman"/>
            <w:color w:val="000000"/>
            <w:u w:val="single"/>
          </w:rPr>
          <w:t>product information</w:t>
        </w:r>
      </w:hyperlink>
      <w:r w:rsidRPr="00DA25E8">
        <w:rPr>
          <w:rFonts w:ascii="Verdana" w:eastAsia="Times New Roman" w:hAnsi="Verdana" w:cs="Times New Roman"/>
          <w:color w:val="000000"/>
        </w:rPr>
        <w:t>.</w:t>
      </w:r>
    </w:p>
    <w:p w14:paraId="2A0D4F2B"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also reviewed the PSURs for </w:t>
      </w:r>
      <w:r w:rsidRPr="00DA25E8">
        <w:rPr>
          <w:rFonts w:ascii="Verdana" w:eastAsia="Times New Roman" w:hAnsi="Verdana" w:cs="Times New Roman"/>
          <w:b/>
          <w:bCs/>
          <w:color w:val="000000"/>
        </w:rPr>
        <w:t>Bluevac BTV8</w:t>
      </w:r>
      <w:r w:rsidRPr="00DA25E8">
        <w:rPr>
          <w:rFonts w:ascii="Verdana" w:eastAsia="Times New Roman" w:hAnsi="Verdana" w:cs="Times New Roman"/>
          <w:color w:val="000000"/>
        </w:rPr>
        <w:t>, </w:t>
      </w:r>
      <w:r w:rsidRPr="00DA25E8">
        <w:rPr>
          <w:rFonts w:ascii="Verdana" w:eastAsia="Times New Roman" w:hAnsi="Verdana" w:cs="Times New Roman"/>
          <w:b/>
          <w:bCs/>
          <w:color w:val="000000"/>
        </w:rPr>
        <w:t>Bovela</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 Bovilis Blue8</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 Bravecto Plus</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 Clynav</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Halagon</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 Inflacam</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 Porcilis PCV</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 Respiporc FluPan H1N1</w:t>
      </w:r>
      <w:r w:rsidRPr="00DA25E8">
        <w:rPr>
          <w:rFonts w:ascii="Verdana" w:eastAsia="Times New Roman" w:hAnsi="Verdana" w:cs="Times New Roman"/>
          <w:color w:val="000000"/>
        </w:rPr>
        <w:t>,</w:t>
      </w:r>
      <w:r w:rsidRPr="00DA25E8">
        <w:rPr>
          <w:rFonts w:ascii="Verdana" w:eastAsia="Times New Roman" w:hAnsi="Verdana" w:cs="Times New Roman"/>
          <w:b/>
          <w:bCs/>
          <w:color w:val="000000"/>
        </w:rPr>
        <w:t> SevoFlo </w:t>
      </w:r>
      <w:r w:rsidRPr="00DA25E8">
        <w:rPr>
          <w:rFonts w:ascii="Verdana" w:eastAsia="Times New Roman" w:hAnsi="Verdana" w:cs="Times New Roman"/>
          <w:color w:val="000000"/>
        </w:rPr>
        <w:t>and </w:t>
      </w:r>
      <w:r w:rsidRPr="00DA25E8">
        <w:rPr>
          <w:rFonts w:ascii="Verdana" w:eastAsia="Times New Roman" w:hAnsi="Verdana" w:cs="Times New Roman"/>
          <w:b/>
          <w:bCs/>
          <w:color w:val="000000"/>
        </w:rPr>
        <w:t>Velactis</w:t>
      </w:r>
      <w:r w:rsidRPr="00DA25E8">
        <w:rPr>
          <w:rFonts w:ascii="Verdana" w:eastAsia="Times New Roman" w:hAnsi="Verdana" w:cs="Times New Roman"/>
          <w:color w:val="000000"/>
        </w:rPr>
        <w:t>, and concluded that no further action or changes to their </w:t>
      </w:r>
      <w:hyperlink r:id="rId33"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DA25E8">
          <w:rPr>
            <w:rFonts w:ascii="Verdana" w:eastAsia="Times New Roman" w:hAnsi="Verdana" w:cs="Times New Roman"/>
            <w:color w:val="000000"/>
            <w:u w:val="single"/>
          </w:rPr>
          <w:t>product information</w:t>
        </w:r>
      </w:hyperlink>
      <w:r w:rsidRPr="00DA25E8">
        <w:rPr>
          <w:rFonts w:ascii="Verdana" w:eastAsia="Times New Roman" w:hAnsi="Verdana" w:cs="Times New Roman"/>
          <w:color w:val="000000"/>
        </w:rPr>
        <w:t> were required.</w:t>
      </w:r>
    </w:p>
    <w:p w14:paraId="5BA2E50F" w14:textId="167090B6"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considered the petition submitted to the Agency by concerned citizens regarding the safety of </w:t>
      </w:r>
      <w:r w:rsidRPr="00DA25E8">
        <w:rPr>
          <w:rFonts w:ascii="Verdana" w:eastAsia="Times New Roman" w:hAnsi="Verdana" w:cs="Times New Roman"/>
          <w:b/>
          <w:bCs/>
          <w:color w:val="000000"/>
        </w:rPr>
        <w:t>Bravecto</w:t>
      </w:r>
      <w:r w:rsidRPr="00DA25E8">
        <w:rPr>
          <w:rFonts w:ascii="Verdana" w:eastAsia="Times New Roman" w:hAnsi="Verdana" w:cs="Times New Roman"/>
          <w:color w:val="000000"/>
        </w:rPr>
        <w:t>, and adopted a </w:t>
      </w:r>
      <w:r w:rsidRPr="00DA25E8">
        <w:rPr>
          <w:rFonts w:ascii="Verdana" w:eastAsia="Times New Roman" w:hAnsi="Verdana" w:cs="Times New Roman"/>
          <w:color w:val="000000"/>
        </w:rPr>
        <w:fldChar w:fldCharType="begin"/>
      </w:r>
      <w:r w:rsidRPr="00DA25E8">
        <w:rPr>
          <w:rFonts w:ascii="Verdana" w:eastAsia="Times New Roman" w:hAnsi="Verdana" w:cs="Times New Roman"/>
          <w:color w:val="000000"/>
        </w:rPr>
        <w:instrText xml:space="preserve"> INCLUDEPICTURE "/var/folders/nj/m875g2tj2j50hjqpdb11s_540000gn/T/com.microsoft.Word/WebArchiveCopyPasteTempFiles/application-pdf.svg" \* MERGEFORMATINET </w:instrText>
      </w:r>
      <w:r w:rsidRPr="00DA25E8">
        <w:rPr>
          <w:rFonts w:ascii="Verdana" w:eastAsia="Times New Roman" w:hAnsi="Verdana" w:cs="Times New Roman"/>
          <w:color w:val="000000"/>
        </w:rPr>
        <w:fldChar w:fldCharType="separate"/>
      </w:r>
      <w:r w:rsidRPr="00DA25E8">
        <w:rPr>
          <w:rFonts w:ascii="Verdana" w:eastAsia="Times New Roman" w:hAnsi="Verdana" w:cs="Times New Roman"/>
          <w:noProof/>
          <w:color w:val="000000"/>
        </w:rPr>
        <mc:AlternateContent>
          <mc:Choice Requires="wps">
            <w:drawing>
              <wp:inline distT="0" distB="0" distL="0" distR="0" wp14:anchorId="4870BDD8" wp14:editId="2FC43D4D">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31824"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DA25E8">
        <w:rPr>
          <w:rFonts w:ascii="Verdana" w:eastAsia="Times New Roman" w:hAnsi="Verdana" w:cs="Times New Roman"/>
          <w:color w:val="000000"/>
        </w:rPr>
        <w:fldChar w:fldCharType="end"/>
      </w:r>
      <w:hyperlink r:id="rId34" w:tgtFrame="_blank" w:history="1">
        <w:r w:rsidRPr="00DA25E8">
          <w:rPr>
            <w:rFonts w:ascii="Verdana" w:eastAsia="Times New Roman" w:hAnsi="Verdana" w:cs="Times New Roman"/>
            <w:color w:val="75197C"/>
            <w:u w:val="single"/>
          </w:rPr>
          <w:t>response to the questions received with the petition</w:t>
        </w:r>
      </w:hyperlink>
      <w:r w:rsidRPr="00DA25E8">
        <w:rPr>
          <w:rFonts w:ascii="Verdana" w:eastAsia="Times New Roman" w:hAnsi="Verdana" w:cs="Times New Roman"/>
          <w:color w:val="000000"/>
        </w:rPr>
        <w:t> .</w:t>
      </w:r>
    </w:p>
    <w:p w14:paraId="133A5262"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International harmonisation</w:t>
      </w:r>
    </w:p>
    <w:p w14:paraId="3F773C96"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Committee adopted the draft </w:t>
      </w:r>
      <w:hyperlink r:id="rId35"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DA25E8">
          <w:rPr>
            <w:rFonts w:ascii="Verdana" w:eastAsia="Times New Roman" w:hAnsi="Verdana" w:cs="Times New Roman"/>
            <w:color w:val="000000"/>
            <w:u w:val="single"/>
          </w:rPr>
          <w:t>guideline</w:t>
        </w:r>
      </w:hyperlink>
      <w:r w:rsidRPr="00DA25E8">
        <w:rPr>
          <w:rFonts w:ascii="Verdana" w:eastAsia="Times New Roman" w:hAnsi="Verdana" w:cs="Times New Roman"/>
          <w:color w:val="000000"/>
        </w:rPr>
        <w:t> VICH GL59 on harmonisation of criteria to waive laboratory animal batch safety testing for vaccines for veterinary use, at step 4, for release for a 4-month period of public consultation following the sign-off by the VICH Steering Committee</w:t>
      </w:r>
    </w:p>
    <w:p w14:paraId="5C5C2F2A"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The </w:t>
      </w:r>
      <w:hyperlink r:id="rId36"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DA25E8">
          <w:rPr>
            <w:rFonts w:ascii="Verdana" w:eastAsia="Times New Roman" w:hAnsi="Verdana" w:cs="Times New Roman"/>
            <w:color w:val="000000"/>
            <w:u w:val="single"/>
          </w:rPr>
          <w:t>guideline</w:t>
        </w:r>
      </w:hyperlink>
      <w:r w:rsidRPr="00DA25E8">
        <w:rPr>
          <w:rFonts w:ascii="Verdana" w:eastAsia="Times New Roman" w:hAnsi="Verdana" w:cs="Times New Roman"/>
          <w:color w:val="000000"/>
        </w:rPr>
        <w:t> will be published on the Agency’s website.</w:t>
      </w:r>
    </w:p>
    <w:p w14:paraId="578A54F1"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Organisational matters</w:t>
      </w:r>
    </w:p>
    <w:p w14:paraId="70E996F6" w14:textId="77777777" w:rsidR="00DA25E8" w:rsidRPr="00DA25E8" w:rsidRDefault="00DA25E8" w:rsidP="00DA25E8">
      <w:pPr>
        <w:spacing w:before="100" w:beforeAutospacing="1" w:after="100" w:afterAutospacing="1"/>
        <w:rPr>
          <w:rFonts w:ascii="Verdana" w:eastAsia="Times New Roman" w:hAnsi="Verdana" w:cs="Times New Roman"/>
          <w:color w:val="000000"/>
        </w:rPr>
      </w:pPr>
      <w:r w:rsidRPr="00DA25E8">
        <w:rPr>
          <w:rFonts w:ascii="Verdana" w:eastAsia="Times New Roman" w:hAnsi="Verdana" w:cs="Times New Roman"/>
          <w:color w:val="000000"/>
        </w:rPr>
        <w:t xml:space="preserve">The Committee re-appointed Gerritt Johan Schefferlie and Rory Breathnach as co-opted members to complement its expertise in MRLs/residues and in </w:t>
      </w:r>
      <w:r w:rsidRPr="00DA25E8">
        <w:rPr>
          <w:rFonts w:ascii="Verdana" w:eastAsia="Times New Roman" w:hAnsi="Verdana" w:cs="Times New Roman"/>
          <w:color w:val="000000"/>
        </w:rPr>
        <w:lastRenderedPageBreak/>
        <w:t>general clinical veterinary practice, respectively, for a further 3-year mandate.</w:t>
      </w:r>
    </w:p>
    <w:p w14:paraId="4C514D68" w14:textId="77777777" w:rsidR="00DA25E8" w:rsidRPr="00DA25E8" w:rsidRDefault="00DA25E8" w:rsidP="00DA25E8">
      <w:pPr>
        <w:spacing w:before="100" w:beforeAutospacing="1" w:after="100" w:afterAutospacing="1"/>
        <w:rPr>
          <w:rFonts w:ascii="Verdana" w:eastAsia="Times New Roman" w:hAnsi="Verdana" w:cs="Times New Roman"/>
          <w:color w:val="000000"/>
        </w:rPr>
      </w:pPr>
      <w:r w:rsidRPr="00DA25E8">
        <w:rPr>
          <w:rFonts w:ascii="Verdana" w:eastAsia="Times New Roman" w:hAnsi="Verdana" w:cs="Times New Roman"/>
          <w:color w:val="000000"/>
        </w:rPr>
        <w:t>The Committee appointed Mary O’Grady as a co-opted member to complement its expertise in quality of pharmaceuticals for a 3-year mandate.</w:t>
      </w:r>
    </w:p>
    <w:p w14:paraId="66137A4D" w14:textId="77777777" w:rsidR="00DA25E8" w:rsidRPr="00DA25E8" w:rsidRDefault="00DA25E8" w:rsidP="00DA25E8">
      <w:pPr>
        <w:spacing w:before="100" w:beforeAutospacing="1" w:after="100" w:afterAutospacing="1"/>
        <w:outlineLvl w:val="3"/>
        <w:rPr>
          <w:rFonts w:ascii="Verdana" w:eastAsia="Times New Roman" w:hAnsi="Verdana" w:cs="Times New Roman"/>
          <w:b/>
          <w:bCs/>
          <w:color w:val="404040"/>
        </w:rPr>
      </w:pPr>
      <w:r w:rsidRPr="00DA25E8">
        <w:rPr>
          <w:rFonts w:ascii="Verdana" w:eastAsia="Times New Roman" w:hAnsi="Verdana" w:cs="Times New Roman"/>
          <w:b/>
          <w:bCs/>
          <w:color w:val="404040"/>
        </w:rPr>
        <w:t>Procedural announcement</w:t>
      </w:r>
    </w:p>
    <w:p w14:paraId="1447CEEA" w14:textId="77777777" w:rsidR="00DA25E8" w:rsidRPr="00DA25E8" w:rsidRDefault="00DA25E8" w:rsidP="00DA25E8">
      <w:pPr>
        <w:spacing w:before="100" w:beforeAutospacing="1" w:after="100" w:afterAutospacing="1"/>
        <w:rPr>
          <w:rFonts w:ascii="Verdana" w:eastAsia="Times New Roman" w:hAnsi="Verdana" w:cs="Times New Roman"/>
          <w:color w:val="000000"/>
        </w:rPr>
      </w:pPr>
      <w:r w:rsidRPr="00DA25E8">
        <w:rPr>
          <w:rFonts w:ascii="Verdana" w:eastAsia="Times New Roman" w:hAnsi="Verdana" w:cs="Times New Roman"/>
          <w:b/>
          <w:bCs/>
          <w:color w:val="000000"/>
        </w:rPr>
        <w:t>Formatted Table Template implementation in the XML delivery files are now live and will become obsolete from 1 of January 2020.</w:t>
      </w:r>
      <w:r w:rsidRPr="00DA25E8">
        <w:rPr>
          <w:rFonts w:ascii="Verdana" w:eastAsia="Times New Roman" w:hAnsi="Verdana" w:cs="Times New Roman"/>
          <w:color w:val="000000"/>
        </w:rPr>
        <w:br/>
      </w:r>
      <w:r w:rsidRPr="00DA25E8">
        <w:rPr>
          <w:rFonts w:ascii="Verdana" w:eastAsia="Times New Roman" w:hAnsi="Verdana" w:cs="Times New Roman"/>
          <w:color w:val="000000"/>
        </w:rPr>
        <w:br/>
        <w:t>A new version of the eSubmission Gateway XML delivery file user interface is now available. This release of the eSubmission Gateway introduces fields from the Formatted Table Template into the delivery file, leading to the abolishment of the need for the Formatted Table Template as a part of the submission cover letter with effect from 1 January 2020. This release also provides a number of improvements to the system and is accompanied by an updated user guide, training slides and release notes which are available on the eSubmission website.</w:t>
      </w:r>
    </w:p>
    <w:p w14:paraId="21D9B2EA" w14:textId="77777777" w:rsidR="00DA25E8" w:rsidRPr="00DA25E8" w:rsidRDefault="00DA25E8" w:rsidP="00DA25E8">
      <w:pPr>
        <w:spacing w:before="100" w:beforeAutospacing="1" w:after="100" w:afterAutospacing="1"/>
        <w:rPr>
          <w:rFonts w:ascii="Verdana" w:eastAsia="Times New Roman" w:hAnsi="Verdana" w:cs="Times New Roman"/>
          <w:color w:val="000000"/>
        </w:rPr>
      </w:pPr>
      <w:r w:rsidRPr="00DA25E8">
        <w:rPr>
          <w:rFonts w:ascii="Verdana" w:eastAsia="Times New Roman" w:hAnsi="Verdana" w:cs="Times New Roman"/>
          <w:color w:val="000000"/>
        </w:rPr>
        <w:t>From 1 January 2020, the Formatted Letter Template will no longer be maintained by EMA. The document and references will be removed from EMA corporate website.</w:t>
      </w:r>
    </w:p>
    <w:p w14:paraId="37B16E8F" w14:textId="77777777" w:rsidR="00DA25E8" w:rsidRPr="00DA25E8" w:rsidRDefault="00DA25E8" w:rsidP="00DA25E8">
      <w:pPr>
        <w:spacing w:beforeAutospacing="1" w:afterAutospacing="1"/>
        <w:rPr>
          <w:rFonts w:ascii="Verdana" w:eastAsia="Times New Roman" w:hAnsi="Verdana" w:cs="Times New Roman"/>
          <w:color w:val="000000"/>
        </w:rPr>
      </w:pPr>
      <w:r w:rsidRPr="00DA25E8">
        <w:rPr>
          <w:rFonts w:ascii="Verdana" w:eastAsia="Times New Roman" w:hAnsi="Verdana" w:cs="Times New Roman"/>
          <w:color w:val="000000"/>
        </w:rPr>
        <w:t>Related information: </w:t>
      </w:r>
      <w:hyperlink r:id="rId37" w:tgtFrame="_blank" w:history="1">
        <w:r w:rsidRPr="00DA25E8">
          <w:rPr>
            <w:rFonts w:ascii="Verdana" w:eastAsia="Times New Roman" w:hAnsi="Verdana" w:cs="Times New Roman"/>
            <w:color w:val="75197C"/>
            <w:u w:val="single"/>
          </w:rPr>
          <w:t>eSubmission website</w:t>
        </w:r>
      </w:hyperlink>
      <w:r w:rsidRPr="00DA25E8">
        <w:rPr>
          <w:rFonts w:ascii="Verdana" w:eastAsia="Times New Roman" w:hAnsi="Verdana" w:cs="Times New Roman"/>
          <w:color w:val="000000"/>
        </w:rPr>
        <w:t> | </w:t>
      </w:r>
      <w:hyperlink r:id="rId38" w:tgtFrame="_blank" w:history="1">
        <w:r w:rsidRPr="00DA25E8">
          <w:rPr>
            <w:rFonts w:ascii="Verdana" w:eastAsia="Times New Roman" w:hAnsi="Verdana" w:cs="Times New Roman"/>
            <w:color w:val="75197C"/>
            <w:u w:val="single"/>
          </w:rPr>
          <w:t>eSubmission Gateway (eSubmission website)</w:t>
        </w:r>
      </w:hyperlink>
    </w:p>
    <w:p w14:paraId="2496E5A7"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C63F3"/>
    <w:multiLevelType w:val="multilevel"/>
    <w:tmpl w:val="721A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BF"/>
    <w:rsid w:val="00453EED"/>
    <w:rsid w:val="005B31BF"/>
    <w:rsid w:val="00BE080D"/>
    <w:rsid w:val="00DA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893B6"/>
  <w14:defaultImageDpi w14:val="32767"/>
  <w15:chartTrackingRefBased/>
  <w15:docId w15:val="{01C1393A-59CC-E442-AC1E-FDC54A8B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A25E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A25E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E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A25E8"/>
    <w:rPr>
      <w:rFonts w:ascii="Times New Roman" w:eastAsia="Times New Roman" w:hAnsi="Times New Roman" w:cs="Times New Roman"/>
      <w:b/>
      <w:bCs/>
    </w:rPr>
  </w:style>
  <w:style w:type="character" w:customStyle="1" w:styleId="apple-converted-space">
    <w:name w:val="apple-converted-space"/>
    <w:basedOn w:val="DefaultParagraphFont"/>
    <w:rsid w:val="00DA25E8"/>
  </w:style>
  <w:style w:type="character" w:customStyle="1" w:styleId="date-display-single">
    <w:name w:val="date-display-single"/>
    <w:basedOn w:val="DefaultParagraphFont"/>
    <w:rsid w:val="00DA25E8"/>
  </w:style>
  <w:style w:type="paragraph" w:styleId="NormalWeb">
    <w:name w:val="Normal (Web)"/>
    <w:basedOn w:val="Normal"/>
    <w:uiPriority w:val="99"/>
    <w:semiHidden/>
    <w:unhideWhenUsed/>
    <w:rsid w:val="00DA25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25E8"/>
    <w:rPr>
      <w:color w:val="0000FF"/>
      <w:u w:val="single"/>
    </w:rPr>
  </w:style>
  <w:style w:type="character" w:styleId="Strong">
    <w:name w:val="Strong"/>
    <w:basedOn w:val="DefaultParagraphFont"/>
    <w:uiPriority w:val="22"/>
    <w:qFormat/>
    <w:rsid w:val="00DA25E8"/>
    <w:rPr>
      <w:b/>
      <w:bCs/>
    </w:rPr>
  </w:style>
  <w:style w:type="character" w:styleId="Emphasis">
    <w:name w:val="Emphasis"/>
    <w:basedOn w:val="DefaultParagraphFont"/>
    <w:uiPriority w:val="20"/>
    <w:qFormat/>
    <w:rsid w:val="00DA25E8"/>
    <w:rPr>
      <w:i/>
      <w:iCs/>
    </w:rPr>
  </w:style>
  <w:style w:type="character" w:customStyle="1" w:styleId="file">
    <w:name w:val="file"/>
    <w:basedOn w:val="DefaultParagraphFont"/>
    <w:rsid w:val="00DA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669954">
      <w:bodyDiv w:val="1"/>
      <w:marLeft w:val="0"/>
      <w:marRight w:val="0"/>
      <w:marTop w:val="0"/>
      <w:marBottom w:val="0"/>
      <w:divBdr>
        <w:top w:val="none" w:sz="0" w:space="0" w:color="auto"/>
        <w:left w:val="none" w:sz="0" w:space="0" w:color="auto"/>
        <w:bottom w:val="none" w:sz="0" w:space="0" w:color="auto"/>
        <w:right w:val="none" w:sz="0" w:space="0" w:color="auto"/>
      </w:divBdr>
      <w:divsChild>
        <w:div w:id="1445690393">
          <w:marLeft w:val="0"/>
          <w:marRight w:val="0"/>
          <w:marTop w:val="0"/>
          <w:marBottom w:val="0"/>
          <w:divBdr>
            <w:top w:val="none" w:sz="0" w:space="0" w:color="auto"/>
            <w:left w:val="none" w:sz="0" w:space="0" w:color="auto"/>
            <w:bottom w:val="none" w:sz="0" w:space="0" w:color="auto"/>
            <w:right w:val="none" w:sz="0" w:space="0" w:color="auto"/>
          </w:divBdr>
          <w:divsChild>
            <w:div w:id="1046638388">
              <w:marLeft w:val="0"/>
              <w:marRight w:val="0"/>
              <w:marTop w:val="0"/>
              <w:marBottom w:val="0"/>
              <w:divBdr>
                <w:top w:val="none" w:sz="0" w:space="0" w:color="auto"/>
                <w:left w:val="none" w:sz="0" w:space="0" w:color="auto"/>
                <w:bottom w:val="none" w:sz="0" w:space="0" w:color="auto"/>
                <w:right w:val="none" w:sz="0" w:space="0" w:color="auto"/>
              </w:divBdr>
            </w:div>
          </w:divsChild>
        </w:div>
        <w:div w:id="1789271944">
          <w:marLeft w:val="0"/>
          <w:marRight w:val="0"/>
          <w:marTop w:val="0"/>
          <w:marBottom w:val="0"/>
          <w:divBdr>
            <w:top w:val="none" w:sz="0" w:space="0" w:color="auto"/>
            <w:left w:val="none" w:sz="0" w:space="0" w:color="auto"/>
            <w:bottom w:val="none" w:sz="0" w:space="0" w:color="auto"/>
            <w:right w:val="none" w:sz="0" w:space="0" w:color="auto"/>
          </w:divBdr>
        </w:div>
        <w:div w:id="653946536">
          <w:marLeft w:val="0"/>
          <w:marRight w:val="0"/>
          <w:marTop w:val="0"/>
          <w:marBottom w:val="0"/>
          <w:divBdr>
            <w:top w:val="none" w:sz="0" w:space="0" w:color="auto"/>
            <w:left w:val="none" w:sz="0" w:space="0" w:color="auto"/>
            <w:bottom w:val="none" w:sz="0" w:space="0" w:color="auto"/>
            <w:right w:val="none" w:sz="0" w:space="0" w:color="auto"/>
          </w:divBdr>
          <w:divsChild>
            <w:div w:id="1247821">
              <w:marLeft w:val="0"/>
              <w:marRight w:val="0"/>
              <w:marTop w:val="0"/>
              <w:marBottom w:val="0"/>
              <w:divBdr>
                <w:top w:val="none" w:sz="0" w:space="0" w:color="auto"/>
                <w:left w:val="none" w:sz="0" w:space="0" w:color="auto"/>
                <w:bottom w:val="none" w:sz="0" w:space="0" w:color="auto"/>
                <w:right w:val="none" w:sz="0" w:space="0" w:color="auto"/>
              </w:divBdr>
              <w:divsChild>
                <w:div w:id="855193187">
                  <w:marLeft w:val="0"/>
                  <w:marRight w:val="0"/>
                  <w:marTop w:val="0"/>
                  <w:marBottom w:val="0"/>
                  <w:divBdr>
                    <w:top w:val="none" w:sz="0" w:space="0" w:color="auto"/>
                    <w:left w:val="none" w:sz="0" w:space="0" w:color="auto"/>
                    <w:bottom w:val="none" w:sz="0" w:space="0" w:color="auto"/>
                    <w:right w:val="none" w:sz="0" w:space="0" w:color="auto"/>
                  </w:divBdr>
                  <w:divsChild>
                    <w:div w:id="1659381127">
                      <w:marLeft w:val="0"/>
                      <w:marRight w:val="0"/>
                      <w:marTop w:val="0"/>
                      <w:marBottom w:val="0"/>
                      <w:divBdr>
                        <w:top w:val="none" w:sz="0" w:space="0" w:color="auto"/>
                        <w:left w:val="none" w:sz="0" w:space="0" w:color="auto"/>
                        <w:bottom w:val="none" w:sz="0" w:space="0" w:color="auto"/>
                        <w:right w:val="none" w:sz="0" w:space="0" w:color="auto"/>
                      </w:divBdr>
                      <w:divsChild>
                        <w:div w:id="614018043">
                          <w:marLeft w:val="0"/>
                          <w:marRight w:val="0"/>
                          <w:marTop w:val="0"/>
                          <w:marBottom w:val="0"/>
                          <w:divBdr>
                            <w:top w:val="none" w:sz="0" w:space="0" w:color="auto"/>
                            <w:left w:val="none" w:sz="0" w:space="0" w:color="auto"/>
                            <w:bottom w:val="none" w:sz="0" w:space="0" w:color="auto"/>
                            <w:right w:val="none" w:sz="0" w:space="0" w:color="auto"/>
                          </w:divBdr>
                          <w:divsChild>
                            <w:div w:id="549346204">
                              <w:marLeft w:val="0"/>
                              <w:marRight w:val="0"/>
                              <w:marTop w:val="0"/>
                              <w:marBottom w:val="0"/>
                              <w:divBdr>
                                <w:top w:val="none" w:sz="0" w:space="0" w:color="auto"/>
                                <w:left w:val="none" w:sz="0" w:space="0" w:color="auto"/>
                                <w:bottom w:val="none" w:sz="0" w:space="0" w:color="auto"/>
                                <w:right w:val="none" w:sz="0" w:space="0" w:color="auto"/>
                              </w:divBdr>
                              <w:divsChild>
                                <w:div w:id="1446315136">
                                  <w:marLeft w:val="0"/>
                                  <w:marRight w:val="0"/>
                                  <w:marTop w:val="0"/>
                                  <w:marBottom w:val="0"/>
                                  <w:divBdr>
                                    <w:top w:val="none" w:sz="0" w:space="0" w:color="auto"/>
                                    <w:left w:val="none" w:sz="0" w:space="0" w:color="auto"/>
                                    <w:bottom w:val="none" w:sz="0" w:space="0" w:color="auto"/>
                                    <w:right w:val="none" w:sz="0" w:space="0" w:color="auto"/>
                                  </w:divBdr>
                                  <w:divsChild>
                                    <w:div w:id="3138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a.europa.eu/en/glossary/indication" TargetMode="External"/><Relationship Id="rId18" Type="http://schemas.openxmlformats.org/officeDocument/2006/relationships/hyperlink" Target="https://www.ema.europa.eu/en/glossary/marketing-authorisation" TargetMode="External"/><Relationship Id="rId26" Type="http://schemas.openxmlformats.org/officeDocument/2006/relationships/hyperlink" Target="https://www.ema.europa.eu/en/glossary/guideline" TargetMode="External"/><Relationship Id="rId39" Type="http://schemas.openxmlformats.org/officeDocument/2006/relationships/fontTable" Target="fontTable.xml"/><Relationship Id="rId21" Type="http://schemas.openxmlformats.org/officeDocument/2006/relationships/hyperlink" Target="https://www.ema.europa.eu/en/glossary/efficacy" TargetMode="External"/><Relationship Id="rId34" Type="http://schemas.openxmlformats.org/officeDocument/2006/relationships/hyperlink" Target="https://www.ema.europa.eu/documents/medicine-qa/responses-questions-raised-bravecto-petition-hand-over_en.pdf" TargetMode="External"/><Relationship Id="rId7" Type="http://schemas.openxmlformats.org/officeDocument/2006/relationships/hyperlink" Target="https://www.ema.europa.eu/en/glossary/type-ii-variation" TargetMode="External"/><Relationship Id="rId12" Type="http://schemas.openxmlformats.org/officeDocument/2006/relationships/hyperlink" Target="https://www.ema.europa.eu/en/glossary/nationally-authorised-product" TargetMode="External"/><Relationship Id="rId17" Type="http://schemas.openxmlformats.org/officeDocument/2006/relationships/hyperlink" Target="https://www.ema.europa.eu/en/glossary/renewal" TargetMode="External"/><Relationship Id="rId25" Type="http://schemas.openxmlformats.org/officeDocument/2006/relationships/hyperlink" Target="https://www.ema.europa.eu/en/glossary/concept-paper" TargetMode="External"/><Relationship Id="rId33" Type="http://schemas.openxmlformats.org/officeDocument/2006/relationships/hyperlink" Target="https://www.ema.europa.eu/en/glossary/product-information" TargetMode="External"/><Relationship Id="rId38" Type="http://schemas.openxmlformats.org/officeDocument/2006/relationships/hyperlink" Target="http://esubmission.ema.europa.eu/esubmission.html" TargetMode="External"/><Relationship Id="rId2" Type="http://schemas.openxmlformats.org/officeDocument/2006/relationships/styles" Target="styles.xml"/><Relationship Id="rId16" Type="http://schemas.openxmlformats.org/officeDocument/2006/relationships/hyperlink" Target="https://www.ema.europa.eu/en/glossary/efficacy" TargetMode="External"/><Relationship Id="rId20" Type="http://schemas.openxmlformats.org/officeDocument/2006/relationships/hyperlink" Target="https://www.ema.europa.eu/en/glossary/medicinal-product" TargetMode="External"/><Relationship Id="rId29" Type="http://schemas.openxmlformats.org/officeDocument/2006/relationships/hyperlink" Target="https://www.ema.europa.eu/en/glossary/cvmp" TargetMode="External"/><Relationship Id="rId1" Type="http://schemas.openxmlformats.org/officeDocument/2006/relationships/numbering" Target="numbering.xml"/><Relationship Id="rId6" Type="http://schemas.openxmlformats.org/officeDocument/2006/relationships/hyperlink" Target="https://www.ema.europa.eu/en/glossary/marketing-authorisation-application" TargetMode="External"/><Relationship Id="rId11" Type="http://schemas.openxmlformats.org/officeDocument/2006/relationships/hyperlink" Target="https://www.ema.europa.eu/en/glossary/worksharing" TargetMode="External"/><Relationship Id="rId24" Type="http://schemas.openxmlformats.org/officeDocument/2006/relationships/hyperlink" Target="https://www.ema.europa.eu/en/glossary/medicinal-product" TargetMode="External"/><Relationship Id="rId32" Type="http://schemas.openxmlformats.org/officeDocument/2006/relationships/hyperlink" Target="https://www.ema.europa.eu/en/glossary/product-information" TargetMode="External"/><Relationship Id="rId37" Type="http://schemas.openxmlformats.org/officeDocument/2006/relationships/hyperlink" Target="http://esubmission.ema.europa.eu/index.htm" TargetMode="External"/><Relationship Id="rId40" Type="http://schemas.openxmlformats.org/officeDocument/2006/relationships/theme" Target="theme/theme1.xml"/><Relationship Id="rId5" Type="http://schemas.openxmlformats.org/officeDocument/2006/relationships/hyperlink" Target="https://www.ema.europa.eu/en/glossary/marketing-authorisation-application" TargetMode="External"/><Relationship Id="rId15" Type="http://schemas.openxmlformats.org/officeDocument/2006/relationships/hyperlink" Target="https://www.ema.europa.eu/en/glossary/marketing-authorisation" TargetMode="External"/><Relationship Id="rId23" Type="http://schemas.openxmlformats.org/officeDocument/2006/relationships/hyperlink" Target="https://www.ema.europa.eu/en/glossary/efficacy" TargetMode="External"/><Relationship Id="rId28" Type="http://schemas.openxmlformats.org/officeDocument/2006/relationships/hyperlink" Target="https://www.ema.europa.eu/en/glossary/cvmp" TargetMode="External"/><Relationship Id="rId36" Type="http://schemas.openxmlformats.org/officeDocument/2006/relationships/hyperlink" Target="https://www.ema.europa.eu/en/glossary/guideline" TargetMode="External"/><Relationship Id="rId10" Type="http://schemas.openxmlformats.org/officeDocument/2006/relationships/hyperlink" Target="https://www.ema.europa.eu/en/glossary/variation" TargetMode="External"/><Relationship Id="rId19" Type="http://schemas.openxmlformats.org/officeDocument/2006/relationships/hyperlink" Target="https://www.ema.europa.eu/en/glossary/referral" TargetMode="External"/><Relationship Id="rId31" Type="http://schemas.openxmlformats.org/officeDocument/2006/relationships/hyperlink" Target="https://www.ema.europa.eu/en/glossary/cvmp" TargetMode="External"/><Relationship Id="rId4" Type="http://schemas.openxmlformats.org/officeDocument/2006/relationships/webSettings" Target="webSettings.xml"/><Relationship Id="rId9" Type="http://schemas.openxmlformats.org/officeDocument/2006/relationships/hyperlink" Target="https://www.ema.europa.eu/en/glossary/variation" TargetMode="External"/><Relationship Id="rId14" Type="http://schemas.openxmlformats.org/officeDocument/2006/relationships/hyperlink" Target="https://www.ema.europa.eu/en/glossary/renewal" TargetMode="External"/><Relationship Id="rId22" Type="http://schemas.openxmlformats.org/officeDocument/2006/relationships/hyperlink" Target="https://www.ema.europa.eu/en/glossary/scientific-advice" TargetMode="External"/><Relationship Id="rId27" Type="http://schemas.openxmlformats.org/officeDocument/2006/relationships/hyperlink" Target="https://www.ema.europa.eu/en/glossary/medicinal-product" TargetMode="External"/><Relationship Id="rId30" Type="http://schemas.openxmlformats.org/officeDocument/2006/relationships/hyperlink" Target="https://www.ema.europa.eu/en/glossary/cat" TargetMode="External"/><Relationship Id="rId35" Type="http://schemas.openxmlformats.org/officeDocument/2006/relationships/hyperlink" Target="https://www.ema.europa.eu/en/glossary/guideline" TargetMode="External"/><Relationship Id="rId8" Type="http://schemas.openxmlformats.org/officeDocument/2006/relationships/hyperlink" Target="https://www.ema.europa.eu/en/glossary/indic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2483</Words>
  <Characters>14158</Characters>
  <Application>Microsoft Office Word</Application>
  <DocSecurity>0</DocSecurity>
  <Lines>117</Lines>
  <Paragraphs>33</Paragraphs>
  <ScaleCrop>false</ScaleCrop>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2020-02-18T10:44:00Z</dcterms:created>
  <dcterms:modified xsi:type="dcterms:W3CDTF">2020-02-18T10:52:00Z</dcterms:modified>
</cp:coreProperties>
</file>