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CE57E" w14:textId="77777777" w:rsidR="00C73DBE" w:rsidRPr="00C73DBE" w:rsidRDefault="00C73DBE" w:rsidP="00C73DBE">
      <w:pPr>
        <w:outlineLvl w:val="0"/>
        <w:rPr>
          <w:rFonts w:ascii="Verdana" w:eastAsia="Times New Roman" w:hAnsi="Verdana" w:cs="Times New Roman"/>
          <w:color w:val="000000"/>
          <w:kern w:val="36"/>
          <w:sz w:val="48"/>
          <w:szCs w:val="48"/>
        </w:rPr>
      </w:pPr>
      <w:r w:rsidRPr="00C73DBE">
        <w:rPr>
          <w:rFonts w:ascii="Verdana" w:eastAsia="Times New Roman" w:hAnsi="Verdana" w:cs="Times New Roman"/>
          <w:color w:val="000000"/>
          <w:kern w:val="36"/>
          <w:sz w:val="48"/>
          <w:szCs w:val="48"/>
        </w:rPr>
        <w:t>Meeting highlights from the Pharmacovigilance Risk Assessment Committee (PRAC) 28-31 October 2019</w:t>
      </w:r>
    </w:p>
    <w:p w14:paraId="03CCE32D" w14:textId="77777777" w:rsidR="00C73DBE" w:rsidRPr="00C73DBE" w:rsidRDefault="00C73DBE" w:rsidP="00C73DBE">
      <w:pPr>
        <w:rPr>
          <w:rFonts w:ascii="Times New Roman" w:eastAsia="Times New Roman" w:hAnsi="Times New Roman" w:cs="Times New Roman"/>
        </w:rPr>
      </w:pPr>
      <w:r w:rsidRPr="00C73DBE">
        <w:rPr>
          <w:rFonts w:ascii="Verdana" w:eastAsia="Times New Roman" w:hAnsi="Verdana" w:cs="Times New Roman"/>
          <w:color w:val="000000"/>
        </w:rPr>
        <w:t> </w:t>
      </w:r>
    </w:p>
    <w:p w14:paraId="6633E500" w14:textId="77777777" w:rsidR="00C73DBE" w:rsidRPr="00C73DBE" w:rsidRDefault="00C73DBE" w:rsidP="00C73DBE">
      <w:pPr>
        <w:rPr>
          <w:rFonts w:ascii="Verdana" w:eastAsia="Times New Roman" w:hAnsi="Verdana" w:cs="Times New Roman"/>
          <w:color w:val="000000"/>
        </w:rPr>
      </w:pPr>
      <w:r w:rsidRPr="00C73DBE">
        <w:rPr>
          <w:rFonts w:ascii="Verdana" w:eastAsia="Times New Roman" w:hAnsi="Verdana" w:cs="Times New Roman"/>
          <w:color w:val="000000"/>
        </w:rPr>
        <w:t>Share</w:t>
      </w:r>
    </w:p>
    <w:p w14:paraId="6FE51EEB" w14:textId="77777777" w:rsidR="00C73DBE" w:rsidRPr="00C73DBE" w:rsidRDefault="00C73DBE" w:rsidP="00C73DBE">
      <w:pPr>
        <w:rPr>
          <w:rFonts w:ascii="Verdana" w:eastAsia="Times New Roman" w:hAnsi="Verdana" w:cs="Times New Roman"/>
          <w:color w:val="000000"/>
        </w:rPr>
      </w:pPr>
      <w:r w:rsidRPr="00C73DBE">
        <w:rPr>
          <w:rFonts w:ascii="Verdana" w:eastAsia="Times New Roman" w:hAnsi="Verdana" w:cs="Times New Roman"/>
          <w:color w:val="000000"/>
        </w:rPr>
        <w:t>News 31/10/2019</w:t>
      </w:r>
    </w:p>
    <w:p w14:paraId="43E0091E" w14:textId="77777777" w:rsidR="00C73DBE" w:rsidRPr="00C73DBE" w:rsidRDefault="000B19ED" w:rsidP="00C73DBE">
      <w:pPr>
        <w:spacing w:beforeAutospacing="1" w:afterAutospacing="1"/>
        <w:rPr>
          <w:rFonts w:ascii="Verdana" w:eastAsia="Times New Roman" w:hAnsi="Verdana" w:cs="Times New Roman"/>
          <w:color w:val="000000"/>
        </w:rPr>
      </w:pPr>
      <w:hyperlink r:id="rId4"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00C73DBE" w:rsidRPr="000B19ED">
          <w:rPr>
            <w:rFonts w:ascii="Verdana" w:eastAsia="Times New Roman" w:hAnsi="Verdana" w:cs="Times New Roman"/>
            <w:b/>
            <w:bCs/>
            <w:color w:val="000000"/>
            <w:highlight w:val="lightGray"/>
            <w:u w:val="single"/>
          </w:rPr>
          <w:t>PRAC</w:t>
        </w:r>
      </w:hyperlink>
      <w:r w:rsidR="00C73DBE" w:rsidRPr="000B19ED">
        <w:rPr>
          <w:rFonts w:ascii="Verdana" w:eastAsia="Times New Roman" w:hAnsi="Verdana" w:cs="Times New Roman"/>
          <w:b/>
          <w:bCs/>
          <w:color w:val="000000"/>
          <w:highlight w:val="lightGray"/>
        </w:rPr>
        <w:t xml:space="preserve"> recommends measures to </w:t>
      </w:r>
      <w:proofErr w:type="spellStart"/>
      <w:r w:rsidR="00C73DBE" w:rsidRPr="000B19ED">
        <w:rPr>
          <w:rFonts w:ascii="Verdana" w:eastAsia="Times New Roman" w:hAnsi="Verdana" w:cs="Times New Roman"/>
          <w:b/>
          <w:bCs/>
          <w:color w:val="000000"/>
          <w:highlight w:val="lightGray"/>
        </w:rPr>
        <w:t>minimise</w:t>
      </w:r>
      <w:proofErr w:type="spellEnd"/>
      <w:r w:rsidR="00C73DBE" w:rsidRPr="000B19ED">
        <w:rPr>
          <w:rFonts w:ascii="Verdana" w:eastAsia="Times New Roman" w:hAnsi="Verdana" w:cs="Times New Roman"/>
          <w:b/>
          <w:bCs/>
          <w:color w:val="000000"/>
          <w:highlight w:val="lightGray"/>
        </w:rPr>
        <w:t xml:space="preserve"> risk of serious side effects with Lemtrada for multiple sclerosis</w:t>
      </w:r>
    </w:p>
    <w:p w14:paraId="04CAA589" w14:textId="77777777" w:rsidR="00C73DBE" w:rsidRPr="00C73DBE" w:rsidRDefault="00C73DBE" w:rsidP="00C73DBE">
      <w:pPr>
        <w:spacing w:beforeAutospacing="1" w:afterAutospacing="1"/>
        <w:rPr>
          <w:rFonts w:ascii="Verdana" w:eastAsia="Times New Roman" w:hAnsi="Verdana" w:cs="Times New Roman"/>
          <w:color w:val="000000"/>
        </w:rPr>
      </w:pPr>
      <w:r w:rsidRPr="00C73DBE">
        <w:rPr>
          <w:rFonts w:ascii="Verdana" w:eastAsia="Times New Roman" w:hAnsi="Verdana" w:cs="Times New Roman"/>
          <w:color w:val="000000"/>
        </w:rPr>
        <w:t>E</w:t>
      </w:r>
      <w:r w:rsidRPr="000B19ED">
        <w:rPr>
          <w:rFonts w:ascii="Verdana" w:eastAsia="Times New Roman" w:hAnsi="Verdana" w:cs="Times New Roman"/>
          <w:color w:val="000000"/>
          <w:highlight w:val="lightGray"/>
        </w:rPr>
        <w:t>MA’s safety committee (</w:t>
      </w:r>
      <w:hyperlink r:id="rId5"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B19ED">
          <w:rPr>
            <w:rFonts w:ascii="Verdana" w:eastAsia="Times New Roman" w:hAnsi="Verdana" w:cs="Times New Roman"/>
            <w:color w:val="000000"/>
            <w:highlight w:val="lightGray"/>
            <w:u w:val="single"/>
          </w:rPr>
          <w:t>PRAC</w:t>
        </w:r>
      </w:hyperlink>
      <w:r w:rsidRPr="000B19ED">
        <w:rPr>
          <w:rFonts w:ascii="Verdana" w:eastAsia="Times New Roman" w:hAnsi="Verdana" w:cs="Times New Roman"/>
          <w:color w:val="000000"/>
          <w:highlight w:val="lightGray"/>
        </w:rPr>
        <w:t>) recommended restricting Lemtrada for use</w:t>
      </w:r>
      <w:r w:rsidRPr="00C73DBE">
        <w:rPr>
          <w:rFonts w:ascii="Verdana" w:eastAsia="Times New Roman" w:hAnsi="Verdana" w:cs="Times New Roman"/>
          <w:color w:val="000000"/>
        </w:rPr>
        <w:t xml:space="preserve"> </w:t>
      </w:r>
      <w:r w:rsidRPr="000B19ED">
        <w:rPr>
          <w:rFonts w:ascii="Verdana" w:eastAsia="Times New Roman" w:hAnsi="Verdana" w:cs="Times New Roman"/>
          <w:color w:val="000000"/>
          <w:highlight w:val="darkGray"/>
        </w:rPr>
        <w:t>in adults with relapsing remitting multiple sclerosis that is highly active despite adequate treatment with at least one disease-modifying therapy or if the disease is worsening rapidly with at least two disabling relapses in a year and brain-imaging showing new damage.</w:t>
      </w:r>
    </w:p>
    <w:p w14:paraId="6D3D1FE1" w14:textId="77777777" w:rsidR="00C73DBE" w:rsidRPr="00C73DBE" w:rsidRDefault="00C73DBE" w:rsidP="00C73DBE">
      <w:pPr>
        <w:spacing w:beforeAutospacing="1" w:afterAutospacing="1"/>
        <w:rPr>
          <w:rFonts w:ascii="Verdana" w:eastAsia="Times New Roman" w:hAnsi="Verdana" w:cs="Times New Roman"/>
          <w:color w:val="000000"/>
        </w:rPr>
      </w:pPr>
      <w:r w:rsidRPr="000B19ED">
        <w:rPr>
          <w:rFonts w:ascii="Verdana" w:eastAsia="Times New Roman" w:hAnsi="Verdana" w:cs="Times New Roman"/>
          <w:color w:val="000000"/>
          <w:highlight w:val="lightGray"/>
        </w:rPr>
        <w:t>The </w:t>
      </w:r>
      <w:hyperlink r:id="rId6"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B19ED">
          <w:rPr>
            <w:rFonts w:ascii="Verdana" w:eastAsia="Times New Roman" w:hAnsi="Verdana" w:cs="Times New Roman"/>
            <w:color w:val="000000"/>
            <w:highlight w:val="lightGray"/>
            <w:u w:val="single"/>
          </w:rPr>
          <w:t>PRAC</w:t>
        </w:r>
      </w:hyperlink>
      <w:r w:rsidRPr="000B19ED">
        <w:rPr>
          <w:rFonts w:ascii="Verdana" w:eastAsia="Times New Roman" w:hAnsi="Verdana" w:cs="Times New Roman"/>
          <w:color w:val="000000"/>
          <w:highlight w:val="lightGray"/>
        </w:rPr>
        <w:t> had issued </w:t>
      </w:r>
      <w:hyperlink r:id="rId7" w:history="1">
        <w:r w:rsidRPr="000B19ED">
          <w:rPr>
            <w:rFonts w:ascii="Verdana" w:eastAsia="Times New Roman" w:hAnsi="Verdana" w:cs="Times New Roman"/>
            <w:color w:val="75197C"/>
            <w:highlight w:val="lightGray"/>
            <w:u w:val="single"/>
          </w:rPr>
          <w:t>interim measures</w:t>
        </w:r>
      </w:hyperlink>
      <w:r w:rsidRPr="000B19ED">
        <w:rPr>
          <w:rFonts w:ascii="Verdana" w:eastAsia="Times New Roman" w:hAnsi="Verdana" w:cs="Times New Roman"/>
          <w:color w:val="000000"/>
          <w:highlight w:val="lightGray"/>
        </w:rPr>
        <w:t> on Lemtrada while reviewing reports of serious reactions. The </w:t>
      </w:r>
      <w:proofErr w:type="spellStart"/>
      <w:r w:rsidR="000B19ED" w:rsidRPr="000B19ED">
        <w:rPr>
          <w:highlight w:val="lightGray"/>
        </w:rPr>
        <w:fldChar w:fldCharType="begin"/>
      </w:r>
      <w:r w:rsidR="000B19ED" w:rsidRPr="000B19ED">
        <w:rPr>
          <w:highlight w:val="lightGray"/>
        </w:rPr>
        <w:instrText xml:space="preserve"> HYPERLINK "https://www.ema.europa.eu/en/glossary/prac" \t "_blank" \o "Pharmacovigilance Risk Assessment Committee -  the committee that</w:instrText>
      </w:r>
      <w:r w:rsidR="000B19ED" w:rsidRPr="000B19ED">
        <w:rPr>
          <w:highlight w:val="lightGray"/>
        </w:rPr>
        <w:instrText xml:space="preserve"> is responsible for assessing all aspects of the risk management of medicines for human use. </w:instrText>
      </w:r>
      <w:r w:rsidR="000B19ED" w:rsidRPr="000B19ED">
        <w:rPr>
          <w:highlight w:val="lightGray"/>
        </w:rPr>
        <w:cr/>
        <w:instrText xml:space="preserve"> </w:instrText>
      </w:r>
      <w:r w:rsidR="000B19ED" w:rsidRPr="000B19ED">
        <w:rPr>
          <w:highlight w:val="lightGray"/>
        </w:rPr>
        <w:cr/>
        <w:instrText xml:space="preserve"> More information can be found under 'Pharmacovigilance Risk Assessment Committee (PRAC)'." </w:instrText>
      </w:r>
      <w:r w:rsidR="000B19ED" w:rsidRPr="000B19ED">
        <w:rPr>
          <w:highlight w:val="lightGray"/>
        </w:rPr>
        <w:fldChar w:fldCharType="separate"/>
      </w:r>
      <w:r w:rsidRPr="000B19ED">
        <w:rPr>
          <w:rFonts w:ascii="Verdana" w:eastAsia="Times New Roman" w:hAnsi="Verdana" w:cs="Times New Roman"/>
          <w:color w:val="000000"/>
          <w:highlight w:val="lightGray"/>
          <w:u w:val="single"/>
        </w:rPr>
        <w:t>PRAC</w:t>
      </w:r>
      <w:r w:rsidR="000B19ED" w:rsidRPr="000B19ED">
        <w:rPr>
          <w:rFonts w:ascii="Verdana" w:eastAsia="Times New Roman" w:hAnsi="Verdana" w:cs="Times New Roman"/>
          <w:color w:val="000000"/>
          <w:highlight w:val="lightGray"/>
          <w:u w:val="single"/>
        </w:rPr>
        <w:fldChar w:fldCharType="end"/>
      </w:r>
      <w:r w:rsidRPr="000B19ED">
        <w:rPr>
          <w:rFonts w:ascii="Verdana" w:eastAsia="Times New Roman" w:hAnsi="Verdana" w:cs="Times New Roman"/>
          <w:color w:val="000000"/>
          <w:highlight w:val="lightGray"/>
        </w:rPr>
        <w:t>completed</w:t>
      </w:r>
      <w:proofErr w:type="spellEnd"/>
      <w:r w:rsidRPr="000B19ED">
        <w:rPr>
          <w:rFonts w:ascii="Verdana" w:eastAsia="Times New Roman" w:hAnsi="Verdana" w:cs="Times New Roman"/>
          <w:color w:val="000000"/>
          <w:highlight w:val="lightGray"/>
        </w:rPr>
        <w:t xml:space="preserve"> the review and recommended that Lemtrada must no longer be used in in patients with certain heart, circulation or bleeding disorders or in patients who have auto-immune disorders other than multiple sclerosis.</w:t>
      </w:r>
    </w:p>
    <w:p w14:paraId="5CFCF3E5" w14:textId="77777777" w:rsidR="00C73DBE" w:rsidRPr="00C73DBE" w:rsidRDefault="00C73DBE" w:rsidP="00C73DBE">
      <w:pPr>
        <w:spacing w:beforeAutospacing="1" w:afterAutospacing="1"/>
        <w:rPr>
          <w:rFonts w:ascii="Verdana" w:eastAsia="Times New Roman" w:hAnsi="Verdana" w:cs="Times New Roman"/>
          <w:color w:val="000000"/>
        </w:rPr>
      </w:pPr>
      <w:r w:rsidRPr="000B19ED">
        <w:rPr>
          <w:rFonts w:ascii="Verdana" w:eastAsia="Times New Roman" w:hAnsi="Verdana" w:cs="Times New Roman"/>
          <w:color w:val="000000"/>
          <w:highlight w:val="lightGray"/>
        </w:rPr>
        <w:t>The recommendations reflect </w:t>
      </w:r>
      <w:hyperlink r:id="rId8"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B19ED">
          <w:rPr>
            <w:rFonts w:ascii="Verdana" w:eastAsia="Times New Roman" w:hAnsi="Verdana" w:cs="Times New Roman"/>
            <w:color w:val="000000"/>
            <w:highlight w:val="lightGray"/>
            <w:u w:val="single"/>
          </w:rPr>
          <w:t>PRAC</w:t>
        </w:r>
      </w:hyperlink>
      <w:r w:rsidRPr="000B19ED">
        <w:rPr>
          <w:rFonts w:ascii="Verdana" w:eastAsia="Times New Roman" w:hAnsi="Verdana" w:cs="Times New Roman"/>
          <w:color w:val="000000"/>
          <w:highlight w:val="lightGray"/>
        </w:rPr>
        <w:t>’s review of reports</w:t>
      </w:r>
      <w:r w:rsidRPr="00C73DBE">
        <w:rPr>
          <w:rFonts w:ascii="Verdana" w:eastAsia="Times New Roman" w:hAnsi="Verdana" w:cs="Times New Roman"/>
          <w:color w:val="000000"/>
        </w:rPr>
        <w:t xml:space="preserve"> concerning </w:t>
      </w:r>
      <w:r w:rsidRPr="000B19ED">
        <w:rPr>
          <w:rFonts w:ascii="Verdana" w:eastAsia="Times New Roman" w:hAnsi="Verdana" w:cs="Times New Roman"/>
          <w:color w:val="000000"/>
          <w:highlight w:val="darkGray"/>
        </w:rPr>
        <w:t xml:space="preserve">rare but serious effects, including deaths, from immune-mediated conditions (caused by the body’s </w:t>
      </w:r>
      <w:proofErr w:type="spellStart"/>
      <w:r w:rsidRPr="000B19ED">
        <w:rPr>
          <w:rFonts w:ascii="Verdana" w:eastAsia="Times New Roman" w:hAnsi="Verdana" w:cs="Times New Roman"/>
          <w:color w:val="000000"/>
          <w:highlight w:val="darkGray"/>
        </w:rPr>
        <w:t>defence</w:t>
      </w:r>
      <w:proofErr w:type="spellEnd"/>
      <w:r w:rsidRPr="000B19ED">
        <w:rPr>
          <w:rFonts w:ascii="Verdana" w:eastAsia="Times New Roman" w:hAnsi="Verdana" w:cs="Times New Roman"/>
          <w:color w:val="000000"/>
          <w:highlight w:val="darkGray"/>
        </w:rPr>
        <w:t xml:space="preserve"> system not working properly) and serious disorders of the heart, circulation and bleeding.</w:t>
      </w:r>
    </w:p>
    <w:p w14:paraId="6F258D74" w14:textId="77777777" w:rsidR="00C73DBE" w:rsidRPr="00C73DBE" w:rsidRDefault="00C73DBE" w:rsidP="00C73DBE">
      <w:pPr>
        <w:spacing w:before="100" w:beforeAutospacing="1" w:after="100" w:afterAutospacing="1"/>
        <w:rPr>
          <w:rFonts w:ascii="Verdana" w:eastAsia="Times New Roman" w:hAnsi="Verdana" w:cs="Times New Roman"/>
          <w:color w:val="000000"/>
        </w:rPr>
      </w:pPr>
      <w:r w:rsidRPr="00C73DBE">
        <w:rPr>
          <w:rFonts w:ascii="Verdana" w:eastAsia="Times New Roman" w:hAnsi="Verdana" w:cs="Times New Roman"/>
          <w:color w:val="000000"/>
        </w:rPr>
        <w:t>More information is available below.</w:t>
      </w:r>
    </w:p>
    <w:p w14:paraId="0EB07F40" w14:textId="77777777" w:rsidR="00C73DBE" w:rsidRPr="00C73DBE" w:rsidRDefault="000B19ED" w:rsidP="00C73DBE">
      <w:pPr>
        <w:spacing w:beforeAutospacing="1" w:afterAutospacing="1"/>
        <w:rPr>
          <w:rFonts w:ascii="Verdana" w:eastAsia="Times New Roman" w:hAnsi="Verdana" w:cs="Times New Roman"/>
          <w:color w:val="000000"/>
        </w:rPr>
      </w:pPr>
      <w:hyperlink r:id="rId9"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00C73DBE" w:rsidRPr="000B19ED">
          <w:rPr>
            <w:rFonts w:ascii="Verdana" w:eastAsia="Times New Roman" w:hAnsi="Verdana" w:cs="Times New Roman"/>
            <w:b/>
            <w:bCs/>
            <w:color w:val="000000"/>
            <w:highlight w:val="lightGray"/>
            <w:u w:val="single"/>
          </w:rPr>
          <w:t>PRAC</w:t>
        </w:r>
      </w:hyperlink>
      <w:r w:rsidR="00C73DBE" w:rsidRPr="000B19ED">
        <w:rPr>
          <w:rFonts w:ascii="Verdana" w:eastAsia="Times New Roman" w:hAnsi="Verdana" w:cs="Times New Roman"/>
          <w:b/>
          <w:bCs/>
          <w:color w:val="000000"/>
          <w:highlight w:val="lightGray"/>
        </w:rPr>
        <w:t xml:space="preserve"> recommends cautious use of </w:t>
      </w:r>
      <w:proofErr w:type="spellStart"/>
      <w:r w:rsidR="00C73DBE" w:rsidRPr="000B19ED">
        <w:rPr>
          <w:rFonts w:ascii="Verdana" w:eastAsia="Times New Roman" w:hAnsi="Verdana" w:cs="Times New Roman"/>
          <w:b/>
          <w:bCs/>
          <w:color w:val="000000"/>
          <w:highlight w:val="lightGray"/>
        </w:rPr>
        <w:t>Xeljanz</w:t>
      </w:r>
      <w:proofErr w:type="spellEnd"/>
      <w:r w:rsidR="00C73DBE" w:rsidRPr="000B19ED">
        <w:rPr>
          <w:rFonts w:ascii="Verdana" w:eastAsia="Times New Roman" w:hAnsi="Verdana" w:cs="Times New Roman"/>
          <w:b/>
          <w:bCs/>
          <w:color w:val="000000"/>
          <w:highlight w:val="lightGray"/>
        </w:rPr>
        <w:t xml:space="preserve"> for all patients at high risk of blood clots</w:t>
      </w:r>
    </w:p>
    <w:p w14:paraId="240E6124" w14:textId="77777777" w:rsidR="00C73DBE" w:rsidRPr="00C73DBE" w:rsidRDefault="00C73DBE" w:rsidP="00C73DBE">
      <w:pPr>
        <w:spacing w:beforeAutospacing="1" w:afterAutospacing="1"/>
        <w:rPr>
          <w:rFonts w:ascii="Verdana" w:eastAsia="Times New Roman" w:hAnsi="Verdana" w:cs="Times New Roman"/>
          <w:color w:val="000000"/>
        </w:rPr>
      </w:pPr>
      <w:r w:rsidRPr="000B19ED">
        <w:rPr>
          <w:rFonts w:ascii="Verdana" w:eastAsia="Times New Roman" w:hAnsi="Verdana" w:cs="Times New Roman"/>
          <w:color w:val="000000"/>
          <w:highlight w:val="darkGray"/>
        </w:rPr>
        <w:t>The </w:t>
      </w:r>
      <w:hyperlink r:id="rId10"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B19ED">
          <w:rPr>
            <w:rFonts w:ascii="Verdana" w:eastAsia="Times New Roman" w:hAnsi="Verdana" w:cs="Times New Roman"/>
            <w:color w:val="000000"/>
            <w:highlight w:val="darkGray"/>
            <w:u w:val="single"/>
          </w:rPr>
          <w:t>PRAC</w:t>
        </w:r>
      </w:hyperlink>
      <w:r w:rsidRPr="000B19ED">
        <w:rPr>
          <w:rFonts w:ascii="Verdana" w:eastAsia="Times New Roman" w:hAnsi="Verdana" w:cs="Times New Roman"/>
          <w:color w:val="000000"/>
          <w:highlight w:val="darkGray"/>
        </w:rPr>
        <w:t xml:space="preserve"> concluded that </w:t>
      </w:r>
      <w:proofErr w:type="spellStart"/>
      <w:r w:rsidRPr="000B19ED">
        <w:rPr>
          <w:rFonts w:ascii="Verdana" w:eastAsia="Times New Roman" w:hAnsi="Verdana" w:cs="Times New Roman"/>
          <w:color w:val="000000"/>
          <w:highlight w:val="darkGray"/>
        </w:rPr>
        <w:t>Xeljanz</w:t>
      </w:r>
      <w:proofErr w:type="spellEnd"/>
      <w:r w:rsidRPr="000B19ED">
        <w:rPr>
          <w:rFonts w:ascii="Verdana" w:eastAsia="Times New Roman" w:hAnsi="Verdana" w:cs="Times New Roman"/>
          <w:color w:val="000000"/>
          <w:highlight w:val="darkGray"/>
        </w:rPr>
        <w:t xml:space="preserve"> (tofacitinib) could increase the risk of blood clots in the lungs and in deep veins in patients who are already at high risk.</w:t>
      </w:r>
    </w:p>
    <w:p w14:paraId="56B15FF8" w14:textId="77777777" w:rsidR="00C73DBE" w:rsidRPr="00C73DBE" w:rsidRDefault="00C73DBE" w:rsidP="00C73DBE">
      <w:pPr>
        <w:spacing w:beforeAutospacing="1" w:afterAutospacing="1"/>
        <w:rPr>
          <w:rFonts w:ascii="Verdana" w:eastAsia="Times New Roman" w:hAnsi="Verdana" w:cs="Times New Roman"/>
          <w:color w:val="000000"/>
        </w:rPr>
      </w:pPr>
      <w:r w:rsidRPr="000B19ED">
        <w:rPr>
          <w:rFonts w:ascii="Verdana" w:eastAsia="Times New Roman" w:hAnsi="Verdana" w:cs="Times New Roman"/>
          <w:color w:val="000000"/>
          <w:highlight w:val="lightGray"/>
        </w:rPr>
        <w:t>The </w:t>
      </w:r>
      <w:hyperlink r:id="rId11"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B19ED">
          <w:rPr>
            <w:rFonts w:ascii="Verdana" w:eastAsia="Times New Roman" w:hAnsi="Verdana" w:cs="Times New Roman"/>
            <w:color w:val="000000"/>
            <w:highlight w:val="lightGray"/>
            <w:u w:val="single"/>
          </w:rPr>
          <w:t>PRAC</w:t>
        </w:r>
      </w:hyperlink>
      <w:r w:rsidRPr="000B19ED">
        <w:rPr>
          <w:rFonts w:ascii="Verdana" w:eastAsia="Times New Roman" w:hAnsi="Verdana" w:cs="Times New Roman"/>
          <w:color w:val="000000"/>
          <w:highlight w:val="lightGray"/>
        </w:rPr>
        <w:t xml:space="preserve"> recommended that </w:t>
      </w:r>
      <w:proofErr w:type="spellStart"/>
      <w:r w:rsidRPr="000B19ED">
        <w:rPr>
          <w:rFonts w:ascii="Verdana" w:eastAsia="Times New Roman" w:hAnsi="Verdana" w:cs="Times New Roman"/>
          <w:color w:val="000000"/>
          <w:highlight w:val="lightGray"/>
        </w:rPr>
        <w:t>Xeljanz</w:t>
      </w:r>
      <w:proofErr w:type="spellEnd"/>
      <w:r w:rsidRPr="000B19ED">
        <w:rPr>
          <w:rFonts w:ascii="Verdana" w:eastAsia="Times New Roman" w:hAnsi="Verdana" w:cs="Times New Roman"/>
          <w:color w:val="000000"/>
          <w:highlight w:val="lightGray"/>
        </w:rPr>
        <w:t xml:space="preserve"> should be used with caution in patients at high risk of blood clots. In addition, the maintenance doses of 10 mg twice daily should not be used in patients with ulcerative colitis who are at high risk unless there is no suitable alternative treatment. Patients older </w:t>
      </w:r>
      <w:r w:rsidRPr="000B19ED">
        <w:rPr>
          <w:rFonts w:ascii="Verdana" w:eastAsia="Times New Roman" w:hAnsi="Verdana" w:cs="Times New Roman"/>
          <w:color w:val="000000"/>
          <w:highlight w:val="lightGray"/>
        </w:rPr>
        <w:lastRenderedPageBreak/>
        <w:t xml:space="preserve">than 65 years of age should be treated with </w:t>
      </w:r>
      <w:proofErr w:type="spellStart"/>
      <w:r w:rsidRPr="000B19ED">
        <w:rPr>
          <w:rFonts w:ascii="Verdana" w:eastAsia="Times New Roman" w:hAnsi="Verdana" w:cs="Times New Roman"/>
          <w:color w:val="000000"/>
          <w:highlight w:val="lightGray"/>
        </w:rPr>
        <w:t>Xeljanz</w:t>
      </w:r>
      <w:proofErr w:type="spellEnd"/>
      <w:r w:rsidRPr="000B19ED">
        <w:rPr>
          <w:rFonts w:ascii="Verdana" w:eastAsia="Times New Roman" w:hAnsi="Verdana" w:cs="Times New Roman"/>
          <w:color w:val="000000"/>
          <w:highlight w:val="lightGray"/>
        </w:rPr>
        <w:t xml:space="preserve"> only when there is no other appropriate treatment.</w:t>
      </w:r>
    </w:p>
    <w:p w14:paraId="6DBB8847" w14:textId="77777777" w:rsidR="00C73DBE" w:rsidRPr="00C73DBE" w:rsidRDefault="00C73DBE" w:rsidP="00C73DBE">
      <w:pPr>
        <w:spacing w:beforeAutospacing="1" w:afterAutospacing="1"/>
        <w:rPr>
          <w:rFonts w:ascii="Verdana" w:eastAsia="Times New Roman" w:hAnsi="Verdana" w:cs="Times New Roman"/>
          <w:color w:val="000000"/>
        </w:rPr>
      </w:pPr>
      <w:r w:rsidRPr="000B19ED">
        <w:rPr>
          <w:rFonts w:ascii="Verdana" w:eastAsia="Times New Roman" w:hAnsi="Verdana" w:cs="Times New Roman"/>
          <w:color w:val="000000"/>
          <w:highlight w:val="darkGray"/>
        </w:rPr>
        <w:t>These recommendations follow the </w:t>
      </w:r>
      <w:hyperlink r:id="rId12"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B19ED">
          <w:rPr>
            <w:rFonts w:ascii="Verdana" w:eastAsia="Times New Roman" w:hAnsi="Verdana" w:cs="Times New Roman"/>
            <w:color w:val="000000"/>
            <w:highlight w:val="darkGray"/>
            <w:u w:val="single"/>
          </w:rPr>
          <w:t>PRAC</w:t>
        </w:r>
      </w:hyperlink>
      <w:r w:rsidRPr="000B19ED">
        <w:rPr>
          <w:rFonts w:ascii="Verdana" w:eastAsia="Times New Roman" w:hAnsi="Verdana" w:cs="Times New Roman"/>
          <w:color w:val="000000"/>
          <w:highlight w:val="darkGray"/>
        </w:rPr>
        <w:t xml:space="preserve">’s review of an ongoing study in patients with rheumatoid arthritis and an increased risk of cardiovascular disease. The study showed an increased risk of blood clots in deep veins and in the lungs with both the 5 mg and 10 mg twice daily doses of </w:t>
      </w:r>
      <w:proofErr w:type="spellStart"/>
      <w:r w:rsidRPr="000B19ED">
        <w:rPr>
          <w:rFonts w:ascii="Verdana" w:eastAsia="Times New Roman" w:hAnsi="Verdana" w:cs="Times New Roman"/>
          <w:color w:val="000000"/>
          <w:highlight w:val="darkGray"/>
        </w:rPr>
        <w:t>Xeljanz</w:t>
      </w:r>
      <w:proofErr w:type="spellEnd"/>
      <w:r w:rsidRPr="000B19ED">
        <w:rPr>
          <w:rFonts w:ascii="Verdana" w:eastAsia="Times New Roman" w:hAnsi="Verdana" w:cs="Times New Roman"/>
          <w:color w:val="000000"/>
          <w:highlight w:val="darkGray"/>
        </w:rPr>
        <w:t xml:space="preserve"> as compared with patients taking TNF-inhibitors (medicines that help reduce inflammation).</w:t>
      </w:r>
    </w:p>
    <w:p w14:paraId="4E680E2B" w14:textId="77777777" w:rsidR="00C73DBE" w:rsidRPr="00C73DBE" w:rsidRDefault="00C73DBE" w:rsidP="00C73DBE">
      <w:pPr>
        <w:spacing w:before="100" w:beforeAutospacing="1" w:after="100" w:afterAutospacing="1"/>
        <w:rPr>
          <w:rFonts w:ascii="Verdana" w:eastAsia="Times New Roman" w:hAnsi="Verdana" w:cs="Times New Roman"/>
          <w:color w:val="000000"/>
        </w:rPr>
      </w:pPr>
      <w:r w:rsidRPr="00C73DBE">
        <w:rPr>
          <w:rFonts w:ascii="Verdana" w:eastAsia="Times New Roman" w:hAnsi="Verdana" w:cs="Times New Roman"/>
          <w:color w:val="000000"/>
        </w:rPr>
        <w:t>More information is available below.</w:t>
      </w:r>
    </w:p>
    <w:p w14:paraId="4A8E0EE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E"/>
    <w:rsid w:val="000B19ED"/>
    <w:rsid w:val="00453EED"/>
    <w:rsid w:val="008F3B5E"/>
    <w:rsid w:val="00BE080D"/>
    <w:rsid w:val="00C7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23590"/>
  <w14:defaultImageDpi w14:val="32767"/>
  <w15:chartTrackingRefBased/>
  <w15:docId w15:val="{E727E892-3D02-224E-9341-CFB9D197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D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B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73DBE"/>
  </w:style>
  <w:style w:type="character" w:customStyle="1" w:styleId="date-display-single">
    <w:name w:val="date-display-single"/>
    <w:basedOn w:val="DefaultParagraphFont"/>
    <w:rsid w:val="00C73DBE"/>
  </w:style>
  <w:style w:type="paragraph" w:styleId="NormalWeb">
    <w:name w:val="Normal (Web)"/>
    <w:basedOn w:val="Normal"/>
    <w:uiPriority w:val="99"/>
    <w:semiHidden/>
    <w:unhideWhenUsed/>
    <w:rsid w:val="00C73DB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73DBE"/>
    <w:rPr>
      <w:b/>
      <w:bCs/>
    </w:rPr>
  </w:style>
  <w:style w:type="character" w:styleId="Hyperlink">
    <w:name w:val="Hyperlink"/>
    <w:basedOn w:val="DefaultParagraphFont"/>
    <w:uiPriority w:val="99"/>
    <w:semiHidden/>
    <w:unhideWhenUsed/>
    <w:rsid w:val="00C73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461186">
      <w:bodyDiv w:val="1"/>
      <w:marLeft w:val="0"/>
      <w:marRight w:val="0"/>
      <w:marTop w:val="0"/>
      <w:marBottom w:val="0"/>
      <w:divBdr>
        <w:top w:val="none" w:sz="0" w:space="0" w:color="auto"/>
        <w:left w:val="none" w:sz="0" w:space="0" w:color="auto"/>
        <w:bottom w:val="none" w:sz="0" w:space="0" w:color="auto"/>
        <w:right w:val="none" w:sz="0" w:space="0" w:color="auto"/>
      </w:divBdr>
      <w:divsChild>
        <w:div w:id="1785684285">
          <w:marLeft w:val="0"/>
          <w:marRight w:val="0"/>
          <w:marTop w:val="0"/>
          <w:marBottom w:val="0"/>
          <w:divBdr>
            <w:top w:val="none" w:sz="0" w:space="0" w:color="auto"/>
            <w:left w:val="none" w:sz="0" w:space="0" w:color="auto"/>
            <w:bottom w:val="none" w:sz="0" w:space="0" w:color="auto"/>
            <w:right w:val="none" w:sz="0" w:space="0" w:color="auto"/>
          </w:divBdr>
          <w:divsChild>
            <w:div w:id="1935817421">
              <w:marLeft w:val="0"/>
              <w:marRight w:val="0"/>
              <w:marTop w:val="0"/>
              <w:marBottom w:val="0"/>
              <w:divBdr>
                <w:top w:val="none" w:sz="0" w:space="0" w:color="auto"/>
                <w:left w:val="none" w:sz="0" w:space="0" w:color="auto"/>
                <w:bottom w:val="none" w:sz="0" w:space="0" w:color="auto"/>
                <w:right w:val="none" w:sz="0" w:space="0" w:color="auto"/>
              </w:divBdr>
            </w:div>
          </w:divsChild>
        </w:div>
        <w:div w:id="266697228">
          <w:marLeft w:val="0"/>
          <w:marRight w:val="0"/>
          <w:marTop w:val="0"/>
          <w:marBottom w:val="0"/>
          <w:divBdr>
            <w:top w:val="none" w:sz="0" w:space="0" w:color="auto"/>
            <w:left w:val="none" w:sz="0" w:space="0" w:color="auto"/>
            <w:bottom w:val="none" w:sz="0" w:space="0" w:color="auto"/>
            <w:right w:val="none" w:sz="0" w:space="0" w:color="auto"/>
          </w:divBdr>
        </w:div>
        <w:div w:id="296497613">
          <w:marLeft w:val="0"/>
          <w:marRight w:val="0"/>
          <w:marTop w:val="0"/>
          <w:marBottom w:val="0"/>
          <w:divBdr>
            <w:top w:val="none" w:sz="0" w:space="0" w:color="auto"/>
            <w:left w:val="none" w:sz="0" w:space="0" w:color="auto"/>
            <w:bottom w:val="none" w:sz="0" w:space="0" w:color="auto"/>
            <w:right w:val="none" w:sz="0" w:space="0" w:color="auto"/>
          </w:divBdr>
          <w:divsChild>
            <w:div w:id="1829858042">
              <w:marLeft w:val="0"/>
              <w:marRight w:val="0"/>
              <w:marTop w:val="0"/>
              <w:marBottom w:val="0"/>
              <w:divBdr>
                <w:top w:val="none" w:sz="0" w:space="0" w:color="auto"/>
                <w:left w:val="none" w:sz="0" w:space="0" w:color="auto"/>
                <w:bottom w:val="none" w:sz="0" w:space="0" w:color="auto"/>
                <w:right w:val="none" w:sz="0" w:space="0" w:color="auto"/>
              </w:divBdr>
              <w:divsChild>
                <w:div w:id="780342790">
                  <w:marLeft w:val="0"/>
                  <w:marRight w:val="0"/>
                  <w:marTop w:val="0"/>
                  <w:marBottom w:val="0"/>
                  <w:divBdr>
                    <w:top w:val="none" w:sz="0" w:space="0" w:color="auto"/>
                    <w:left w:val="none" w:sz="0" w:space="0" w:color="auto"/>
                    <w:bottom w:val="none" w:sz="0" w:space="0" w:color="auto"/>
                    <w:right w:val="none" w:sz="0" w:space="0" w:color="auto"/>
                  </w:divBdr>
                  <w:divsChild>
                    <w:div w:id="1220170162">
                      <w:marLeft w:val="0"/>
                      <w:marRight w:val="0"/>
                      <w:marTop w:val="0"/>
                      <w:marBottom w:val="0"/>
                      <w:divBdr>
                        <w:top w:val="none" w:sz="0" w:space="0" w:color="auto"/>
                        <w:left w:val="none" w:sz="0" w:space="0" w:color="auto"/>
                        <w:bottom w:val="none" w:sz="0" w:space="0" w:color="auto"/>
                        <w:right w:val="none" w:sz="0" w:space="0" w:color="auto"/>
                      </w:divBdr>
                      <w:divsChild>
                        <w:div w:id="894052653">
                          <w:marLeft w:val="0"/>
                          <w:marRight w:val="0"/>
                          <w:marTop w:val="0"/>
                          <w:marBottom w:val="0"/>
                          <w:divBdr>
                            <w:top w:val="none" w:sz="0" w:space="0" w:color="auto"/>
                            <w:left w:val="none" w:sz="0" w:space="0" w:color="auto"/>
                            <w:bottom w:val="none" w:sz="0" w:space="0" w:color="auto"/>
                            <w:right w:val="none" w:sz="0" w:space="0" w:color="auto"/>
                          </w:divBdr>
                          <w:divsChild>
                            <w:div w:id="891770991">
                              <w:marLeft w:val="0"/>
                              <w:marRight w:val="0"/>
                              <w:marTop w:val="0"/>
                              <w:marBottom w:val="0"/>
                              <w:divBdr>
                                <w:top w:val="none" w:sz="0" w:space="0" w:color="auto"/>
                                <w:left w:val="none" w:sz="0" w:space="0" w:color="auto"/>
                                <w:bottom w:val="none" w:sz="0" w:space="0" w:color="auto"/>
                                <w:right w:val="none" w:sz="0" w:space="0" w:color="auto"/>
                              </w:divBdr>
                              <w:divsChild>
                                <w:div w:id="911624525">
                                  <w:marLeft w:val="0"/>
                                  <w:marRight w:val="0"/>
                                  <w:marTop w:val="0"/>
                                  <w:marBottom w:val="0"/>
                                  <w:divBdr>
                                    <w:top w:val="none" w:sz="0" w:space="0" w:color="auto"/>
                                    <w:left w:val="none" w:sz="0" w:space="0" w:color="auto"/>
                                    <w:bottom w:val="none" w:sz="0" w:space="0" w:color="auto"/>
                                    <w:right w:val="none" w:sz="0" w:space="0" w:color="auto"/>
                                  </w:divBdr>
                                  <w:divsChild>
                                    <w:div w:id="15207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pra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ma.europa.eu/en/news/use-multiple-sclerosis-medicine-lemtrada-restricted-while-ema-review-ongoing" TargetMode="External"/><Relationship Id="rId12" Type="http://schemas.openxmlformats.org/officeDocument/2006/relationships/hyperlink" Target="https://www.ema.europa.eu/en/glossary/pr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glossary/prac" TargetMode="External"/><Relationship Id="rId11" Type="http://schemas.openxmlformats.org/officeDocument/2006/relationships/hyperlink" Target="https://www.ema.europa.eu/en/glossary/prac" TargetMode="External"/><Relationship Id="rId5" Type="http://schemas.openxmlformats.org/officeDocument/2006/relationships/hyperlink" Target="https://www.ema.europa.eu/en/glossary/prac" TargetMode="External"/><Relationship Id="rId10" Type="http://schemas.openxmlformats.org/officeDocument/2006/relationships/hyperlink" Target="https://www.ema.europa.eu/en/glossary/prac" TargetMode="External"/><Relationship Id="rId4" Type="http://schemas.openxmlformats.org/officeDocument/2006/relationships/hyperlink" Target="https://www.ema.europa.eu/en/glossary/prac" TargetMode="External"/><Relationship Id="rId9" Type="http://schemas.openxmlformats.org/officeDocument/2006/relationships/hyperlink" Target="https://www.ema.europa.eu/en/glossary/pr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2020-02-18T10:44:00Z</dcterms:created>
  <dcterms:modified xsi:type="dcterms:W3CDTF">2020-03-15T14:00:00Z</dcterms:modified>
</cp:coreProperties>
</file>