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F91A4" w14:textId="77777777" w:rsidR="00F043F9" w:rsidRPr="00F043F9" w:rsidRDefault="00F043F9" w:rsidP="00F043F9">
      <w:pPr>
        <w:outlineLvl w:val="0"/>
        <w:rPr>
          <w:rFonts w:ascii="Verdana" w:eastAsia="Times New Roman" w:hAnsi="Verdana" w:cs="Times New Roman"/>
          <w:color w:val="000000"/>
          <w:kern w:val="36"/>
          <w:sz w:val="48"/>
          <w:szCs w:val="48"/>
        </w:rPr>
      </w:pPr>
      <w:r w:rsidRPr="00F043F9">
        <w:rPr>
          <w:rFonts w:ascii="Verdana" w:eastAsia="Times New Roman" w:hAnsi="Verdana" w:cs="Times New Roman"/>
          <w:color w:val="000000"/>
          <w:kern w:val="36"/>
          <w:sz w:val="48"/>
          <w:szCs w:val="48"/>
        </w:rPr>
        <w:t>Committee for Medicinal Products for Veterinary Use (CVMP) meeting of 8-10 October 2019</w:t>
      </w:r>
    </w:p>
    <w:p w14:paraId="7EC2F121" w14:textId="77777777" w:rsidR="00F043F9" w:rsidRPr="00F043F9" w:rsidRDefault="00F043F9" w:rsidP="00F043F9">
      <w:pPr>
        <w:rPr>
          <w:rFonts w:ascii="Times New Roman" w:eastAsia="Times New Roman" w:hAnsi="Times New Roman" w:cs="Times New Roman"/>
        </w:rPr>
      </w:pPr>
      <w:r w:rsidRPr="00F043F9">
        <w:rPr>
          <w:rFonts w:ascii="Verdana" w:eastAsia="Times New Roman" w:hAnsi="Verdana" w:cs="Times New Roman"/>
          <w:color w:val="000000"/>
        </w:rPr>
        <w:t> </w:t>
      </w:r>
    </w:p>
    <w:p w14:paraId="17A973CE" w14:textId="77777777" w:rsidR="00F043F9" w:rsidRPr="00F043F9" w:rsidRDefault="00F043F9" w:rsidP="00F043F9">
      <w:pPr>
        <w:rPr>
          <w:rFonts w:ascii="Verdana" w:eastAsia="Times New Roman" w:hAnsi="Verdana" w:cs="Times New Roman"/>
          <w:color w:val="000000"/>
        </w:rPr>
      </w:pPr>
      <w:r w:rsidRPr="00F043F9">
        <w:rPr>
          <w:rFonts w:ascii="Verdana" w:eastAsia="Times New Roman" w:hAnsi="Verdana" w:cs="Times New Roman"/>
          <w:color w:val="000000"/>
        </w:rPr>
        <w:t>Share</w:t>
      </w:r>
    </w:p>
    <w:p w14:paraId="5ACC6BBE" w14:textId="77777777" w:rsidR="00F043F9" w:rsidRPr="00F043F9" w:rsidRDefault="00F043F9" w:rsidP="00F043F9">
      <w:pPr>
        <w:rPr>
          <w:rFonts w:ascii="Verdana" w:eastAsia="Times New Roman" w:hAnsi="Verdana" w:cs="Times New Roman"/>
          <w:color w:val="000000"/>
        </w:rPr>
      </w:pPr>
      <w:r w:rsidRPr="00F043F9">
        <w:rPr>
          <w:rFonts w:ascii="Verdana" w:eastAsia="Times New Roman" w:hAnsi="Verdana" w:cs="Times New Roman"/>
          <w:color w:val="000000"/>
        </w:rPr>
        <w:t>Press release 11/10/2019</w:t>
      </w:r>
    </w:p>
    <w:p w14:paraId="6F4E43EB" w14:textId="77777777" w:rsidR="00F043F9" w:rsidRPr="00F043F9" w:rsidRDefault="00F043F9" w:rsidP="00F043F9">
      <w:pPr>
        <w:spacing w:before="100" w:beforeAutospacing="1" w:after="100" w:afterAutospacing="1"/>
        <w:outlineLvl w:val="3"/>
        <w:rPr>
          <w:rFonts w:ascii="Verdana" w:eastAsia="Times New Roman" w:hAnsi="Verdana" w:cs="Times New Roman"/>
          <w:b/>
          <w:bCs/>
          <w:color w:val="404040"/>
        </w:rPr>
      </w:pPr>
      <w:r w:rsidRPr="00963126">
        <w:rPr>
          <w:rFonts w:ascii="Verdana" w:eastAsia="Times New Roman" w:hAnsi="Verdana" w:cs="Times New Roman"/>
          <w:b/>
          <w:bCs/>
          <w:color w:val="404040"/>
          <w:highlight w:val="lightGray"/>
        </w:rPr>
        <w:t>CVMP recommends two new veterinary medicines for companion animals</w:t>
      </w:r>
    </w:p>
    <w:p w14:paraId="28907DCB" w14:textId="77777777" w:rsidR="00F043F9" w:rsidRPr="00F043F9" w:rsidRDefault="00F043F9" w:rsidP="00F043F9">
      <w:pPr>
        <w:spacing w:before="100" w:beforeAutospacing="1" w:after="100" w:afterAutospacing="1"/>
        <w:outlineLvl w:val="3"/>
        <w:rPr>
          <w:rFonts w:ascii="Verdana" w:eastAsia="Times New Roman" w:hAnsi="Verdana" w:cs="Times New Roman"/>
          <w:b/>
          <w:bCs/>
          <w:color w:val="404040"/>
        </w:rPr>
      </w:pPr>
      <w:r w:rsidRPr="00F043F9">
        <w:rPr>
          <w:rFonts w:ascii="Verdana" w:eastAsia="Times New Roman" w:hAnsi="Verdana" w:cs="Times New Roman"/>
          <w:b/>
          <w:bCs/>
          <w:color w:val="404040"/>
        </w:rPr>
        <w:t>CVMP opinions on veterinary medicinal products</w:t>
      </w:r>
    </w:p>
    <w:p w14:paraId="4A368C1E" w14:textId="77777777" w:rsidR="00F043F9" w:rsidRPr="00F043F9" w:rsidRDefault="00F043F9" w:rsidP="00F043F9">
      <w:pPr>
        <w:spacing w:beforeAutospacing="1" w:afterAutospacing="1"/>
        <w:rPr>
          <w:rFonts w:ascii="Verdana" w:eastAsia="Times New Roman" w:hAnsi="Verdana" w:cs="Times New Roman"/>
          <w:color w:val="000000"/>
        </w:rPr>
      </w:pPr>
      <w:r w:rsidRPr="00F043F9">
        <w:rPr>
          <w:rFonts w:ascii="Verdana" w:eastAsia="Times New Roman" w:hAnsi="Verdana" w:cs="Times New Roman"/>
          <w:color w:val="000000"/>
        </w:rPr>
        <w:t>The Committee adopted by consensus a positive opinion for an initial </w:t>
      </w:r>
      <w:hyperlink r:id="rId5" w:tgtFrame="_blank" w:tooltip="An application made to a European regulatory authority for approval to market a medicine within the European Union." w:history="1">
        <w:r w:rsidRPr="00F043F9">
          <w:rPr>
            <w:rFonts w:ascii="Verdana" w:eastAsia="Times New Roman" w:hAnsi="Verdana" w:cs="Times New Roman"/>
            <w:color w:val="000000"/>
            <w:u w:val="single"/>
          </w:rPr>
          <w:t xml:space="preserve">marketing </w:t>
        </w:r>
        <w:proofErr w:type="spellStart"/>
        <w:r w:rsidRPr="00F043F9">
          <w:rPr>
            <w:rFonts w:ascii="Verdana" w:eastAsia="Times New Roman" w:hAnsi="Verdana" w:cs="Times New Roman"/>
            <w:color w:val="000000"/>
            <w:u w:val="single"/>
          </w:rPr>
          <w:t>authorisation</w:t>
        </w:r>
        <w:proofErr w:type="spellEnd"/>
        <w:r w:rsidRPr="00F043F9">
          <w:rPr>
            <w:rFonts w:ascii="Verdana" w:eastAsia="Times New Roman" w:hAnsi="Verdana" w:cs="Times New Roman"/>
            <w:color w:val="000000"/>
            <w:u w:val="single"/>
          </w:rPr>
          <w:t xml:space="preserve"> application</w:t>
        </w:r>
      </w:hyperlink>
      <w:r w:rsidRPr="00F043F9">
        <w:rPr>
          <w:rFonts w:ascii="Verdana" w:eastAsia="Times New Roman" w:hAnsi="Verdana" w:cs="Times New Roman"/>
          <w:color w:val="000000"/>
        </w:rPr>
        <w:t> for </w:t>
      </w:r>
      <w:proofErr w:type="spellStart"/>
      <w:r w:rsidRPr="00F043F9">
        <w:rPr>
          <w:rFonts w:ascii="Verdana" w:eastAsia="Times New Roman" w:hAnsi="Verdana" w:cs="Times New Roman"/>
          <w:b/>
          <w:bCs/>
          <w:color w:val="000000"/>
        </w:rPr>
        <w:t>Neptra</w:t>
      </w:r>
      <w:proofErr w:type="spellEnd"/>
      <w:r w:rsidRPr="00F043F9">
        <w:rPr>
          <w:rFonts w:ascii="Verdana" w:eastAsia="Times New Roman" w:hAnsi="Verdana" w:cs="Times New Roman"/>
          <w:color w:val="000000"/>
        </w:rPr>
        <w:t>, from Bayer Animal Health GmbH, a new product for the treatment of canine otitis externa caused by susceptible strains of bacteria sensitive to florfenicol and fungi sensitive to terbinafine.</w:t>
      </w:r>
    </w:p>
    <w:p w14:paraId="29AA3DA8" w14:textId="77777777" w:rsidR="00F043F9" w:rsidRPr="00F043F9" w:rsidRDefault="00F043F9" w:rsidP="00F043F9">
      <w:pPr>
        <w:spacing w:beforeAutospacing="1" w:afterAutospacing="1"/>
        <w:rPr>
          <w:rFonts w:ascii="Verdana" w:eastAsia="Times New Roman" w:hAnsi="Verdana" w:cs="Times New Roman"/>
          <w:color w:val="000000"/>
        </w:rPr>
      </w:pPr>
      <w:r w:rsidRPr="00F043F9">
        <w:rPr>
          <w:rFonts w:ascii="Verdana" w:eastAsia="Times New Roman" w:hAnsi="Verdana" w:cs="Times New Roman"/>
          <w:color w:val="000000"/>
        </w:rPr>
        <w:t>The Committee adopted by consensus a positive opinion for an initial </w:t>
      </w:r>
      <w:hyperlink r:id="rId6" w:tgtFrame="_blank" w:tooltip="An application made to a European regulatory authority for approval to market a medicine within the European Union." w:history="1">
        <w:r w:rsidRPr="00F043F9">
          <w:rPr>
            <w:rFonts w:ascii="Verdana" w:eastAsia="Times New Roman" w:hAnsi="Verdana" w:cs="Times New Roman"/>
            <w:color w:val="000000"/>
            <w:u w:val="single"/>
          </w:rPr>
          <w:t xml:space="preserve">marketing </w:t>
        </w:r>
        <w:proofErr w:type="spellStart"/>
        <w:r w:rsidRPr="00F043F9">
          <w:rPr>
            <w:rFonts w:ascii="Verdana" w:eastAsia="Times New Roman" w:hAnsi="Verdana" w:cs="Times New Roman"/>
            <w:color w:val="000000"/>
            <w:u w:val="single"/>
          </w:rPr>
          <w:t>authorisation</w:t>
        </w:r>
        <w:proofErr w:type="spellEnd"/>
        <w:r w:rsidRPr="00F043F9">
          <w:rPr>
            <w:rFonts w:ascii="Verdana" w:eastAsia="Times New Roman" w:hAnsi="Verdana" w:cs="Times New Roman"/>
            <w:color w:val="000000"/>
            <w:u w:val="single"/>
          </w:rPr>
          <w:t xml:space="preserve"> application</w:t>
        </w:r>
      </w:hyperlink>
      <w:r w:rsidRPr="00F043F9">
        <w:rPr>
          <w:rFonts w:ascii="Verdana" w:eastAsia="Times New Roman" w:hAnsi="Verdana" w:cs="Times New Roman"/>
          <w:color w:val="000000"/>
        </w:rPr>
        <w:t> for </w:t>
      </w:r>
      <w:proofErr w:type="spellStart"/>
      <w:r w:rsidRPr="00F043F9">
        <w:rPr>
          <w:rFonts w:ascii="Verdana" w:eastAsia="Times New Roman" w:hAnsi="Verdana" w:cs="Times New Roman"/>
          <w:b/>
          <w:bCs/>
          <w:color w:val="000000"/>
        </w:rPr>
        <w:t>Mirataz</w:t>
      </w:r>
      <w:proofErr w:type="spellEnd"/>
      <w:r w:rsidRPr="00F043F9">
        <w:rPr>
          <w:rFonts w:ascii="Verdana" w:eastAsia="Times New Roman" w:hAnsi="Verdana" w:cs="Times New Roman"/>
          <w:color w:val="000000"/>
        </w:rPr>
        <w:t xml:space="preserve">, from </w:t>
      </w:r>
      <w:proofErr w:type="spellStart"/>
      <w:r w:rsidRPr="00F043F9">
        <w:rPr>
          <w:rFonts w:ascii="Verdana" w:eastAsia="Times New Roman" w:hAnsi="Verdana" w:cs="Times New Roman"/>
          <w:color w:val="000000"/>
        </w:rPr>
        <w:t>Aniserve</w:t>
      </w:r>
      <w:proofErr w:type="spellEnd"/>
      <w:r w:rsidRPr="00F043F9">
        <w:rPr>
          <w:rFonts w:ascii="Verdana" w:eastAsia="Times New Roman" w:hAnsi="Verdana" w:cs="Times New Roman"/>
          <w:color w:val="000000"/>
        </w:rPr>
        <w:t xml:space="preserve"> GmbH, a new product for bodyweight gain in </w:t>
      </w:r>
      <w:hyperlink r:id="rId7" w:tgtFrame="_blank" w:tooltip="Committee for Advanced Therapies -  the committee that is responsible for assessing the quality, safety and efficacy of advanced-therapy medicines, including medicines classified as gene therapy, somatic-cell therapy or tissue-engineered products. &#13; &#13; More information can be found under 'Committee for Advanced Therapies (CAT)'." w:history="1">
        <w:r w:rsidRPr="00F043F9">
          <w:rPr>
            <w:rFonts w:ascii="Verdana" w:eastAsia="Times New Roman" w:hAnsi="Verdana" w:cs="Times New Roman"/>
            <w:color w:val="000000"/>
            <w:u w:val="single"/>
          </w:rPr>
          <w:t>cats</w:t>
        </w:r>
      </w:hyperlink>
      <w:r w:rsidRPr="00F043F9">
        <w:rPr>
          <w:rFonts w:ascii="Verdana" w:eastAsia="Times New Roman" w:hAnsi="Verdana" w:cs="Times New Roman"/>
          <w:color w:val="000000"/>
        </w:rPr>
        <w:t> experiencing poor appetite and weight loss resulting from chronic medical conditions.</w:t>
      </w:r>
    </w:p>
    <w:p w14:paraId="030C18F2" w14:textId="77777777" w:rsidR="00F043F9" w:rsidRPr="00F043F9" w:rsidRDefault="00F043F9" w:rsidP="00F043F9">
      <w:pPr>
        <w:spacing w:beforeAutospacing="1" w:afterAutospacing="1"/>
        <w:rPr>
          <w:rFonts w:ascii="Verdana" w:eastAsia="Times New Roman" w:hAnsi="Verdana" w:cs="Times New Roman"/>
          <w:color w:val="000000"/>
        </w:rPr>
      </w:pPr>
      <w:r w:rsidRPr="00F043F9">
        <w:rPr>
          <w:rFonts w:ascii="Verdana" w:eastAsia="Times New Roman" w:hAnsi="Verdana" w:cs="Times New Roman"/>
          <w:color w:val="000000"/>
        </w:rPr>
        <w:t>The Committee adopted by consensus positive opinions for </w:t>
      </w:r>
      <w:hyperlink r:id="rId8" w:tgtFrame="_blank" w:tooltip="A major change to a marketing authorisation that may have a significant impact on the quality, safety or efficacy of a medicine, but does not involve a change to the active substance, its strength or the route of administration. Type II variations require a formal approval. For more information, see type II variations -  questions and answers." w:history="1">
        <w:r w:rsidRPr="00F043F9">
          <w:rPr>
            <w:rFonts w:ascii="Verdana" w:eastAsia="Times New Roman" w:hAnsi="Verdana" w:cs="Times New Roman"/>
            <w:color w:val="000000"/>
            <w:u w:val="single"/>
          </w:rPr>
          <w:t>type II variation</w:t>
        </w:r>
      </w:hyperlink>
      <w:r w:rsidRPr="00F043F9">
        <w:rPr>
          <w:rFonts w:ascii="Verdana" w:eastAsia="Times New Roman" w:hAnsi="Verdana" w:cs="Times New Roman"/>
          <w:color w:val="000000"/>
        </w:rPr>
        <w:t> applications for</w:t>
      </w:r>
      <w:r w:rsidRPr="00F043F9">
        <w:rPr>
          <w:rFonts w:ascii="Verdana" w:eastAsia="Times New Roman" w:hAnsi="Verdana" w:cs="Times New Roman"/>
          <w:b/>
          <w:bCs/>
          <w:color w:val="000000"/>
        </w:rPr>
        <w:t> </w:t>
      </w:r>
      <w:proofErr w:type="spellStart"/>
      <w:r w:rsidRPr="00F043F9">
        <w:rPr>
          <w:rFonts w:ascii="Verdana" w:eastAsia="Times New Roman" w:hAnsi="Verdana" w:cs="Times New Roman"/>
          <w:b/>
          <w:bCs/>
          <w:color w:val="000000"/>
        </w:rPr>
        <w:t>Exzolt</w:t>
      </w:r>
      <w:proofErr w:type="spellEnd"/>
      <w:r w:rsidRPr="00F043F9">
        <w:rPr>
          <w:rFonts w:ascii="Verdana" w:eastAsia="Times New Roman" w:hAnsi="Verdana" w:cs="Times New Roman"/>
          <w:color w:val="000000"/>
        </w:rPr>
        <w:t> and for </w:t>
      </w:r>
      <w:proofErr w:type="spellStart"/>
      <w:r w:rsidRPr="00F043F9">
        <w:rPr>
          <w:rFonts w:ascii="Verdana" w:eastAsia="Times New Roman" w:hAnsi="Verdana" w:cs="Times New Roman"/>
          <w:b/>
          <w:bCs/>
          <w:color w:val="000000"/>
        </w:rPr>
        <w:t>Suvaxyn</w:t>
      </w:r>
      <w:proofErr w:type="spellEnd"/>
      <w:r w:rsidRPr="00F043F9">
        <w:rPr>
          <w:rFonts w:ascii="Verdana" w:eastAsia="Times New Roman" w:hAnsi="Verdana" w:cs="Times New Roman"/>
          <w:b/>
          <w:bCs/>
          <w:color w:val="000000"/>
        </w:rPr>
        <w:t xml:space="preserve"> </w:t>
      </w:r>
      <w:proofErr w:type="spellStart"/>
      <w:r w:rsidRPr="00F043F9">
        <w:rPr>
          <w:rFonts w:ascii="Verdana" w:eastAsia="Times New Roman" w:hAnsi="Verdana" w:cs="Times New Roman"/>
          <w:b/>
          <w:bCs/>
          <w:color w:val="000000"/>
        </w:rPr>
        <w:t>Circo</w:t>
      </w:r>
      <w:proofErr w:type="spellEnd"/>
      <w:r w:rsidRPr="00F043F9">
        <w:rPr>
          <w:rFonts w:ascii="Verdana" w:eastAsia="Times New Roman" w:hAnsi="Verdana" w:cs="Times New Roman"/>
          <w:b/>
          <w:bCs/>
          <w:color w:val="000000"/>
        </w:rPr>
        <w:t xml:space="preserve"> and </w:t>
      </w:r>
      <w:proofErr w:type="spellStart"/>
      <w:r w:rsidRPr="00F043F9">
        <w:rPr>
          <w:rFonts w:ascii="Verdana" w:eastAsia="Times New Roman" w:hAnsi="Verdana" w:cs="Times New Roman"/>
          <w:b/>
          <w:bCs/>
          <w:color w:val="000000"/>
        </w:rPr>
        <w:t>Suvaxyn</w:t>
      </w:r>
      <w:proofErr w:type="spellEnd"/>
      <w:r w:rsidRPr="00F043F9">
        <w:rPr>
          <w:rFonts w:ascii="Verdana" w:eastAsia="Times New Roman" w:hAnsi="Verdana" w:cs="Times New Roman"/>
          <w:b/>
          <w:bCs/>
          <w:color w:val="000000"/>
        </w:rPr>
        <w:t xml:space="preserve"> </w:t>
      </w:r>
      <w:proofErr w:type="spellStart"/>
      <w:r w:rsidRPr="00F043F9">
        <w:rPr>
          <w:rFonts w:ascii="Verdana" w:eastAsia="Times New Roman" w:hAnsi="Verdana" w:cs="Times New Roman"/>
          <w:b/>
          <w:bCs/>
          <w:color w:val="000000"/>
        </w:rPr>
        <w:t>Circo+MH</w:t>
      </w:r>
      <w:proofErr w:type="spellEnd"/>
      <w:r w:rsidRPr="00F043F9">
        <w:rPr>
          <w:rFonts w:ascii="Verdana" w:eastAsia="Times New Roman" w:hAnsi="Verdana" w:cs="Times New Roman"/>
          <w:b/>
          <w:bCs/>
          <w:color w:val="000000"/>
        </w:rPr>
        <w:t xml:space="preserve"> RTU </w:t>
      </w:r>
      <w:r w:rsidRPr="00F043F9">
        <w:rPr>
          <w:rFonts w:ascii="Verdana" w:eastAsia="Times New Roman" w:hAnsi="Verdana" w:cs="Times New Roman"/>
          <w:color w:val="000000"/>
        </w:rPr>
        <w:t>(subject to a </w:t>
      </w:r>
      <w:proofErr w:type="spellStart"/>
      <w:r w:rsidR="00963126">
        <w:fldChar w:fldCharType="begin"/>
      </w:r>
      <w:r w:rsidR="00963126">
        <w:instrText xml:space="preserve"> HYPERLINK "https://www.ema.eu</w:instrText>
      </w:r>
      <w:r w:rsidR="00963126">
        <w:instrText>ropa.eu/en/glossary/worksharing" \t "_blank" \o "The submission of a single application for a variation that affects more than one marketing authorisation from the same marketing authorisation holder. </w:instrText>
      </w:r>
      <w:r w:rsidR="00963126">
        <w:cr/>
        <w:instrText xml:space="preserve"> </w:instrText>
      </w:r>
      <w:r w:rsidR="00963126">
        <w:cr/>
        <w:instrText xml:space="preserve"> More information can be found under 'Worksharing - </w:instrText>
      </w:r>
      <w:r w:rsidR="00963126">
        <w:instrText xml:space="preserve"> questions and answers'." </w:instrText>
      </w:r>
      <w:r w:rsidR="00963126">
        <w:fldChar w:fldCharType="separate"/>
      </w:r>
      <w:r w:rsidRPr="00F043F9">
        <w:rPr>
          <w:rFonts w:ascii="Verdana" w:eastAsia="Times New Roman" w:hAnsi="Verdana" w:cs="Times New Roman"/>
          <w:color w:val="000000"/>
          <w:u w:val="single"/>
        </w:rPr>
        <w:t>worksharing</w:t>
      </w:r>
      <w:proofErr w:type="spellEnd"/>
      <w:r w:rsidR="00963126">
        <w:rPr>
          <w:rFonts w:ascii="Verdana" w:eastAsia="Times New Roman" w:hAnsi="Verdana" w:cs="Times New Roman"/>
          <w:color w:val="000000"/>
          <w:u w:val="single"/>
        </w:rPr>
        <w:fldChar w:fldCharType="end"/>
      </w:r>
      <w:r w:rsidRPr="00F043F9">
        <w:rPr>
          <w:rFonts w:ascii="Verdana" w:eastAsia="Times New Roman" w:hAnsi="Verdana" w:cs="Times New Roman"/>
          <w:color w:val="000000"/>
        </w:rPr>
        <w:t> procedure), both concerning quality changes.</w:t>
      </w:r>
    </w:p>
    <w:p w14:paraId="0225B743" w14:textId="77777777" w:rsidR="00F043F9" w:rsidRPr="00F043F9" w:rsidRDefault="00F043F9" w:rsidP="00F043F9">
      <w:pPr>
        <w:spacing w:beforeAutospacing="1" w:afterAutospacing="1"/>
        <w:rPr>
          <w:rFonts w:ascii="Verdana" w:eastAsia="Times New Roman" w:hAnsi="Verdana" w:cs="Times New Roman"/>
          <w:color w:val="000000"/>
        </w:rPr>
      </w:pPr>
      <w:r w:rsidRPr="00F043F9">
        <w:rPr>
          <w:rFonts w:ascii="Verdana" w:eastAsia="Times New Roman" w:hAnsi="Verdana" w:cs="Times New Roman"/>
          <w:color w:val="000000"/>
        </w:rPr>
        <w:t>The Committee also adopted by consensus a positive opinion for a </w:t>
      </w:r>
      <w:hyperlink r:id="rId9" w:tgtFrame="_blank" w:tooltip="A minor change to a marketing authorisation that the marketing-authorisation holder must notify to the regulatory authority before implementation, but which does not require formal approval. For more information, see type IB variations -  questions and answers." w:history="1">
        <w:r w:rsidRPr="00F043F9">
          <w:rPr>
            <w:rFonts w:ascii="Verdana" w:eastAsia="Times New Roman" w:hAnsi="Verdana" w:cs="Times New Roman"/>
            <w:color w:val="000000"/>
            <w:u w:val="single"/>
          </w:rPr>
          <w:t>type IB variation</w:t>
        </w:r>
      </w:hyperlink>
      <w:r w:rsidRPr="00F043F9">
        <w:rPr>
          <w:rFonts w:ascii="Verdana" w:eastAsia="Times New Roman" w:hAnsi="Verdana" w:cs="Times New Roman"/>
          <w:color w:val="000000"/>
        </w:rPr>
        <w:t> application (subject to a </w:t>
      </w:r>
      <w:proofErr w:type="spellStart"/>
      <w:r w:rsidR="00963126">
        <w:fldChar w:fldCharType="begin"/>
      </w:r>
      <w:r w:rsidR="00963126">
        <w:instrText xml:space="preserve"> HYPERLINK "https://www.ema.europa.eu/en/glossary/worksharing" \t "_blank" \o "The submission of a single application</w:instrText>
      </w:r>
      <w:r w:rsidR="00963126">
        <w:instrText xml:space="preserve"> for a variation that affects more than one marketing authorisation from the same marketing authorisation holder. </w:instrText>
      </w:r>
      <w:r w:rsidR="00963126">
        <w:cr/>
        <w:instrText xml:space="preserve"> </w:instrText>
      </w:r>
      <w:r w:rsidR="00963126">
        <w:cr/>
        <w:instrText xml:space="preserve"> More information can be found under 'Worksharing -  questions and answers'." </w:instrText>
      </w:r>
      <w:r w:rsidR="00963126">
        <w:fldChar w:fldCharType="separate"/>
      </w:r>
      <w:r w:rsidRPr="00F043F9">
        <w:rPr>
          <w:rFonts w:ascii="Verdana" w:eastAsia="Times New Roman" w:hAnsi="Verdana" w:cs="Times New Roman"/>
          <w:color w:val="000000"/>
          <w:u w:val="single"/>
        </w:rPr>
        <w:t>worksharing</w:t>
      </w:r>
      <w:proofErr w:type="spellEnd"/>
      <w:r w:rsidR="00963126">
        <w:rPr>
          <w:rFonts w:ascii="Verdana" w:eastAsia="Times New Roman" w:hAnsi="Verdana" w:cs="Times New Roman"/>
          <w:color w:val="000000"/>
          <w:u w:val="single"/>
        </w:rPr>
        <w:fldChar w:fldCharType="end"/>
      </w:r>
      <w:r w:rsidRPr="00F043F9">
        <w:rPr>
          <w:rFonts w:ascii="Verdana" w:eastAsia="Times New Roman" w:hAnsi="Verdana" w:cs="Times New Roman"/>
          <w:color w:val="000000"/>
        </w:rPr>
        <w:t> procedure) for </w:t>
      </w:r>
      <w:proofErr w:type="spellStart"/>
      <w:r w:rsidRPr="00F043F9">
        <w:rPr>
          <w:rFonts w:ascii="Verdana" w:eastAsia="Times New Roman" w:hAnsi="Verdana" w:cs="Times New Roman"/>
          <w:b/>
          <w:bCs/>
          <w:color w:val="000000"/>
        </w:rPr>
        <w:t>Meloxidolor</w:t>
      </w:r>
      <w:proofErr w:type="spellEnd"/>
      <w:r w:rsidRPr="00F043F9">
        <w:rPr>
          <w:rFonts w:ascii="Verdana" w:eastAsia="Times New Roman" w:hAnsi="Verdana" w:cs="Times New Roman"/>
          <w:b/>
          <w:bCs/>
          <w:color w:val="000000"/>
        </w:rPr>
        <w:t xml:space="preserve">, </w:t>
      </w:r>
      <w:proofErr w:type="spellStart"/>
      <w:r w:rsidRPr="00F043F9">
        <w:rPr>
          <w:rFonts w:ascii="Verdana" w:eastAsia="Times New Roman" w:hAnsi="Verdana" w:cs="Times New Roman"/>
          <w:b/>
          <w:bCs/>
          <w:color w:val="000000"/>
        </w:rPr>
        <w:t>Novaquin</w:t>
      </w:r>
      <w:proofErr w:type="spellEnd"/>
      <w:r w:rsidRPr="00F043F9">
        <w:rPr>
          <w:rFonts w:ascii="Verdana" w:eastAsia="Times New Roman" w:hAnsi="Verdana" w:cs="Times New Roman"/>
          <w:b/>
          <w:bCs/>
          <w:color w:val="000000"/>
        </w:rPr>
        <w:t>,</w:t>
      </w:r>
      <w:r w:rsidRPr="00F043F9">
        <w:rPr>
          <w:rFonts w:ascii="Verdana" w:eastAsia="Times New Roman" w:hAnsi="Verdana" w:cs="Times New Roman"/>
          <w:color w:val="000000"/>
        </w:rPr>
        <w:t> </w:t>
      </w:r>
      <w:proofErr w:type="spellStart"/>
      <w:r w:rsidRPr="00F043F9">
        <w:rPr>
          <w:rFonts w:ascii="Verdana" w:eastAsia="Times New Roman" w:hAnsi="Verdana" w:cs="Times New Roman"/>
          <w:b/>
          <w:bCs/>
          <w:color w:val="000000"/>
        </w:rPr>
        <w:t>Sedadex</w:t>
      </w:r>
      <w:proofErr w:type="spellEnd"/>
      <w:r w:rsidRPr="00F043F9">
        <w:rPr>
          <w:rFonts w:ascii="Verdana" w:eastAsia="Times New Roman" w:hAnsi="Verdana" w:cs="Times New Roman"/>
          <w:color w:val="000000"/>
        </w:rPr>
        <w:t> and </w:t>
      </w:r>
      <w:proofErr w:type="spellStart"/>
      <w:r w:rsidRPr="00F043F9">
        <w:rPr>
          <w:rFonts w:ascii="Verdana" w:eastAsia="Times New Roman" w:hAnsi="Verdana" w:cs="Times New Roman"/>
          <w:b/>
          <w:bCs/>
          <w:color w:val="000000"/>
        </w:rPr>
        <w:t>Prevomax</w:t>
      </w:r>
      <w:proofErr w:type="spellEnd"/>
      <w:r w:rsidRPr="00F043F9">
        <w:rPr>
          <w:rFonts w:ascii="Verdana" w:eastAsia="Times New Roman" w:hAnsi="Verdana" w:cs="Times New Roman"/>
          <w:color w:val="000000"/>
        </w:rPr>
        <w:t>, concerning a new </w:t>
      </w:r>
      <w:hyperlink r:id="rId10" w:tgtFrame="_blank" w:tooltip="Science and activities relating to the detection, assessment, understanding and prevention of adverse effects or any other medicine-related problem. &#13; &#13; More information can be found under 'Pharmacovigilance -  Overview'." w:history="1">
        <w:r w:rsidRPr="00F043F9">
          <w:rPr>
            <w:rFonts w:ascii="Verdana" w:eastAsia="Times New Roman" w:hAnsi="Verdana" w:cs="Times New Roman"/>
            <w:color w:val="000000"/>
            <w:u w:val="single"/>
          </w:rPr>
          <w:t>pharmacovigilance</w:t>
        </w:r>
      </w:hyperlink>
      <w:r w:rsidRPr="00F043F9">
        <w:rPr>
          <w:rFonts w:ascii="Verdana" w:eastAsia="Times New Roman" w:hAnsi="Verdana" w:cs="Times New Roman"/>
          <w:color w:val="000000"/>
        </w:rPr>
        <w:t> system.</w:t>
      </w:r>
    </w:p>
    <w:p w14:paraId="7BF4336B" w14:textId="77777777" w:rsidR="00F043F9" w:rsidRPr="00F043F9" w:rsidRDefault="00F043F9" w:rsidP="00F043F9">
      <w:pPr>
        <w:spacing w:beforeAutospacing="1" w:afterAutospacing="1"/>
        <w:rPr>
          <w:rFonts w:ascii="Verdana" w:eastAsia="Times New Roman" w:hAnsi="Verdana" w:cs="Times New Roman"/>
          <w:color w:val="000000"/>
        </w:rPr>
      </w:pPr>
      <w:r w:rsidRPr="00F043F9">
        <w:rPr>
          <w:rFonts w:ascii="Verdana" w:eastAsia="Times New Roman" w:hAnsi="Verdana" w:cs="Times New Roman"/>
          <w:color w:val="000000"/>
        </w:rPr>
        <w:t>More information about the above-mentioned medicines, including their full </w:t>
      </w:r>
      <w:hyperlink r:id="rId11" w:tgtFrame="_blank" w:tooltip="A medical condition that a medicine is used for. This can include the treatment, prevention and diagnosis of a disease." w:history="1">
        <w:r w:rsidRPr="00F043F9">
          <w:rPr>
            <w:rFonts w:ascii="Verdana" w:eastAsia="Times New Roman" w:hAnsi="Verdana" w:cs="Times New Roman"/>
            <w:color w:val="000000"/>
            <w:u w:val="single"/>
          </w:rPr>
          <w:t>indications</w:t>
        </w:r>
      </w:hyperlink>
      <w:r w:rsidRPr="00F043F9">
        <w:rPr>
          <w:rFonts w:ascii="Verdana" w:eastAsia="Times New Roman" w:hAnsi="Verdana" w:cs="Times New Roman"/>
          <w:color w:val="000000"/>
        </w:rPr>
        <w:t>, will be published on the Agency’s website.</w:t>
      </w:r>
    </w:p>
    <w:p w14:paraId="62659BE8" w14:textId="77777777" w:rsidR="00F043F9" w:rsidRPr="00F043F9" w:rsidRDefault="00F043F9" w:rsidP="00F043F9">
      <w:pPr>
        <w:spacing w:before="100" w:beforeAutospacing="1" w:after="100" w:afterAutospacing="1"/>
        <w:outlineLvl w:val="3"/>
        <w:rPr>
          <w:rFonts w:ascii="Verdana" w:eastAsia="Times New Roman" w:hAnsi="Verdana" w:cs="Times New Roman"/>
          <w:b/>
          <w:bCs/>
          <w:color w:val="404040"/>
        </w:rPr>
      </w:pPr>
      <w:r w:rsidRPr="00F043F9">
        <w:rPr>
          <w:rFonts w:ascii="Verdana" w:eastAsia="Times New Roman" w:hAnsi="Verdana" w:cs="Times New Roman"/>
          <w:b/>
          <w:bCs/>
          <w:color w:val="404040"/>
        </w:rPr>
        <w:t>Community referrals and related procedures</w:t>
      </w:r>
    </w:p>
    <w:p w14:paraId="6F1AF835" w14:textId="77777777" w:rsidR="00F043F9" w:rsidRPr="00F043F9" w:rsidRDefault="00F043F9" w:rsidP="00F043F9">
      <w:pPr>
        <w:spacing w:beforeAutospacing="1" w:afterAutospacing="1"/>
        <w:rPr>
          <w:rFonts w:ascii="Verdana" w:eastAsia="Times New Roman" w:hAnsi="Verdana" w:cs="Times New Roman"/>
          <w:color w:val="000000"/>
        </w:rPr>
      </w:pPr>
      <w:r w:rsidRPr="00F043F9">
        <w:rPr>
          <w:rFonts w:ascii="Verdana" w:eastAsia="Times New Roman" w:hAnsi="Verdana" w:cs="Times New Roman"/>
          <w:color w:val="000000"/>
        </w:rPr>
        <w:t>The Committee started a procedure for </w:t>
      </w:r>
      <w:proofErr w:type="spellStart"/>
      <w:r w:rsidRPr="00F043F9">
        <w:rPr>
          <w:rFonts w:ascii="Verdana" w:eastAsia="Times New Roman" w:hAnsi="Verdana" w:cs="Times New Roman"/>
          <w:b/>
          <w:bCs/>
          <w:color w:val="000000"/>
        </w:rPr>
        <w:t>Stresnil</w:t>
      </w:r>
      <w:proofErr w:type="spellEnd"/>
      <w:r w:rsidRPr="00F043F9">
        <w:rPr>
          <w:rFonts w:ascii="Verdana" w:eastAsia="Times New Roman" w:hAnsi="Verdana" w:cs="Times New Roman"/>
          <w:b/>
          <w:bCs/>
          <w:color w:val="000000"/>
        </w:rPr>
        <w:t xml:space="preserve"> 40 mg/ml solution for injection for pigs and associated names, and generic products thereof</w:t>
      </w:r>
      <w:r w:rsidRPr="00F043F9">
        <w:rPr>
          <w:rFonts w:ascii="Verdana" w:eastAsia="Times New Roman" w:hAnsi="Verdana" w:cs="Times New Roman"/>
          <w:color w:val="000000"/>
        </w:rPr>
        <w:t xml:space="preserve"> (azaperone). The matter was referred to the Committee by </w:t>
      </w:r>
      <w:r w:rsidRPr="00F043F9">
        <w:rPr>
          <w:rFonts w:ascii="Verdana" w:eastAsia="Times New Roman" w:hAnsi="Verdana" w:cs="Times New Roman"/>
          <w:color w:val="000000"/>
        </w:rPr>
        <w:lastRenderedPageBreak/>
        <w:t>Germany under Article 35 of Directive 2001/82/EC. This </w:t>
      </w:r>
      <w:hyperlink r:id="rId12" w:tgtFrame="_blank" w:tooltip="An evaluation conducted by a European Medicines Agency committee following a referral from the European Commission or a Member State. Referrals are used to address particular issues, such as safety concerns, to resolve disagreements between Member States on issues related to the authorisation of medicines or to give an opinion on an issue of Europe-wide interest. &#13; &#13; More information can be found under referral procedures (human) and referral procedures (veterinary)." w:history="1">
        <w:r w:rsidRPr="00F043F9">
          <w:rPr>
            <w:rFonts w:ascii="Verdana" w:eastAsia="Times New Roman" w:hAnsi="Verdana" w:cs="Times New Roman"/>
            <w:color w:val="000000"/>
            <w:u w:val="single"/>
          </w:rPr>
          <w:t>referral</w:t>
        </w:r>
      </w:hyperlink>
      <w:r w:rsidRPr="00F043F9">
        <w:rPr>
          <w:rFonts w:ascii="Verdana" w:eastAsia="Times New Roman" w:hAnsi="Verdana" w:cs="Times New Roman"/>
          <w:color w:val="000000"/>
        </w:rPr>
        <w:t> procedure concerns the appropriateness of the current </w:t>
      </w:r>
      <w:hyperlink r:id="rId13" w:tgtFrame="_blank" w:tooltip="The time that must elapse between the last administration of a veterinary medicine and the slaughter or production of food from that animal, to ensure that the food does not contain levels of the medicine that exceed the maximum residue limit. &#13; &#13; More information can be found under 'Maximum residue limits'." w:history="1">
        <w:r w:rsidRPr="00F043F9">
          <w:rPr>
            <w:rFonts w:ascii="Verdana" w:eastAsia="Times New Roman" w:hAnsi="Verdana" w:cs="Times New Roman"/>
            <w:color w:val="000000"/>
            <w:u w:val="single"/>
          </w:rPr>
          <w:t>withdrawal periods</w:t>
        </w:r>
      </w:hyperlink>
      <w:r w:rsidRPr="00F043F9">
        <w:rPr>
          <w:rFonts w:ascii="Verdana" w:eastAsia="Times New Roman" w:hAnsi="Verdana" w:cs="Times New Roman"/>
          <w:color w:val="000000"/>
        </w:rPr>
        <w:t> (meat and offal) in pigs for the aforementioned veterinary </w:t>
      </w:r>
      <w:hyperlink r:id="rId14" w:tgtFrame="_blank" w:tooltip="A substance or combination of substances that is intended to treat, prevent or diagnose a disease, or to restore, correct or modify physiological functions by exerting a pharmacological, immunological or metabolic action." w:history="1">
        <w:r w:rsidRPr="00F043F9">
          <w:rPr>
            <w:rFonts w:ascii="Verdana" w:eastAsia="Times New Roman" w:hAnsi="Verdana" w:cs="Times New Roman"/>
            <w:color w:val="000000"/>
            <w:u w:val="single"/>
          </w:rPr>
          <w:t>medicinal products</w:t>
        </w:r>
      </w:hyperlink>
      <w:r w:rsidRPr="00F043F9">
        <w:rPr>
          <w:rFonts w:ascii="Verdana" w:eastAsia="Times New Roman" w:hAnsi="Verdana" w:cs="Times New Roman"/>
          <w:color w:val="000000"/>
        </w:rPr>
        <w:t>.</w:t>
      </w:r>
    </w:p>
    <w:p w14:paraId="78B0FCCA" w14:textId="77777777" w:rsidR="00F043F9" w:rsidRPr="00F043F9" w:rsidRDefault="00F043F9" w:rsidP="00F043F9">
      <w:pPr>
        <w:spacing w:before="100" w:beforeAutospacing="1" w:after="100" w:afterAutospacing="1"/>
        <w:outlineLvl w:val="3"/>
        <w:rPr>
          <w:rFonts w:ascii="Verdana" w:eastAsia="Times New Roman" w:hAnsi="Verdana" w:cs="Times New Roman"/>
          <w:b/>
          <w:bCs/>
          <w:color w:val="404040"/>
        </w:rPr>
      </w:pPr>
      <w:r w:rsidRPr="00F043F9">
        <w:rPr>
          <w:rFonts w:ascii="Verdana" w:eastAsia="Times New Roman" w:hAnsi="Verdana" w:cs="Times New Roman"/>
          <w:b/>
          <w:bCs/>
          <w:color w:val="404040"/>
        </w:rPr>
        <w:t>Maximum residue limits</w:t>
      </w:r>
    </w:p>
    <w:p w14:paraId="38DED52F" w14:textId="77777777" w:rsidR="00F043F9" w:rsidRPr="00F043F9" w:rsidRDefault="00F043F9" w:rsidP="00F043F9">
      <w:pPr>
        <w:spacing w:beforeAutospacing="1" w:afterAutospacing="1"/>
        <w:rPr>
          <w:rFonts w:ascii="Verdana" w:eastAsia="Times New Roman" w:hAnsi="Verdana" w:cs="Times New Roman"/>
          <w:color w:val="000000"/>
        </w:rPr>
      </w:pPr>
      <w:r w:rsidRPr="00F043F9">
        <w:rPr>
          <w:rFonts w:ascii="Verdana" w:eastAsia="Times New Roman" w:hAnsi="Verdana" w:cs="Times New Roman"/>
          <w:color w:val="000000"/>
        </w:rPr>
        <w:t>The Committee adopted by consensus a positive opinion recommending that the current </w:t>
      </w:r>
      <w:hyperlink r:id="rId15" w:tgtFrame="_blank" w:tooltip="The maximum concentration of a medicine residue that is considered acceptable in food produced from an animal that has been treated with that medicine. &#13; &#13; More information can be found under 'Maximum residue limits'." w:history="1">
        <w:r w:rsidRPr="00F043F9">
          <w:rPr>
            <w:rFonts w:ascii="Verdana" w:eastAsia="Times New Roman" w:hAnsi="Verdana" w:cs="Times New Roman"/>
            <w:color w:val="000000"/>
            <w:u w:val="single"/>
          </w:rPr>
          <w:t>maximum residue limits</w:t>
        </w:r>
      </w:hyperlink>
      <w:r w:rsidRPr="00F043F9">
        <w:rPr>
          <w:rFonts w:ascii="Verdana" w:eastAsia="Times New Roman" w:hAnsi="Verdana" w:cs="Times New Roman"/>
          <w:color w:val="000000"/>
        </w:rPr>
        <w:t> for </w:t>
      </w:r>
      <w:proofErr w:type="spellStart"/>
      <w:r w:rsidRPr="00F043F9">
        <w:rPr>
          <w:rFonts w:ascii="Verdana" w:eastAsia="Times New Roman" w:hAnsi="Verdana" w:cs="Times New Roman"/>
          <w:b/>
          <w:bCs/>
          <w:color w:val="000000"/>
        </w:rPr>
        <w:t>dicyclanil</w:t>
      </w:r>
      <w:proofErr w:type="spellEnd"/>
      <w:r w:rsidRPr="00F043F9">
        <w:rPr>
          <w:rFonts w:ascii="Verdana" w:eastAsia="Times New Roman" w:hAnsi="Verdana" w:cs="Times New Roman"/>
          <w:color w:val="000000"/>
        </w:rPr>
        <w:t> in sheep remain unchanged.</w:t>
      </w:r>
    </w:p>
    <w:p w14:paraId="57A53308" w14:textId="77777777" w:rsidR="00F043F9" w:rsidRPr="00F043F9" w:rsidRDefault="00F043F9" w:rsidP="00F043F9">
      <w:pPr>
        <w:spacing w:before="100" w:beforeAutospacing="1" w:after="100" w:afterAutospacing="1"/>
        <w:rPr>
          <w:rFonts w:ascii="Verdana" w:eastAsia="Times New Roman" w:hAnsi="Verdana" w:cs="Times New Roman"/>
          <w:color w:val="000000"/>
        </w:rPr>
      </w:pPr>
      <w:r w:rsidRPr="00F043F9">
        <w:rPr>
          <w:rFonts w:ascii="Verdana" w:eastAsia="Times New Roman" w:hAnsi="Verdana" w:cs="Times New Roman"/>
          <w:color w:val="000000"/>
        </w:rPr>
        <w:t>More information about the above recommendation will be published on the Agency’s website.</w:t>
      </w:r>
    </w:p>
    <w:p w14:paraId="77A39444" w14:textId="77777777" w:rsidR="00F043F9" w:rsidRPr="00F043F9" w:rsidRDefault="00F043F9" w:rsidP="00F043F9">
      <w:pPr>
        <w:spacing w:beforeAutospacing="1" w:afterAutospacing="1"/>
        <w:rPr>
          <w:rFonts w:ascii="Verdana" w:eastAsia="Times New Roman" w:hAnsi="Verdana" w:cs="Times New Roman"/>
          <w:color w:val="000000"/>
        </w:rPr>
      </w:pPr>
      <w:r w:rsidRPr="00F043F9">
        <w:rPr>
          <w:rFonts w:ascii="Verdana" w:eastAsia="Times New Roman" w:hAnsi="Verdana" w:cs="Times New Roman"/>
          <w:color w:val="000000"/>
        </w:rPr>
        <w:t>The Committee agreed to include </w:t>
      </w:r>
      <w:r w:rsidRPr="00F043F9">
        <w:rPr>
          <w:rFonts w:ascii="Verdana" w:eastAsia="Times New Roman" w:hAnsi="Verdana" w:cs="Times New Roman"/>
          <w:b/>
          <w:bCs/>
          <w:color w:val="000000"/>
        </w:rPr>
        <w:t>ethoxylated nonylphenol</w:t>
      </w:r>
      <w:r w:rsidRPr="00F043F9">
        <w:rPr>
          <w:rFonts w:ascii="Verdana" w:eastAsia="Times New Roman" w:hAnsi="Verdana" w:cs="Times New Roman"/>
          <w:color w:val="000000"/>
        </w:rPr>
        <w:t> with an average of 9–10 ethylene oxide moieties and </w:t>
      </w:r>
      <w:r w:rsidRPr="00F043F9">
        <w:rPr>
          <w:rFonts w:ascii="Verdana" w:eastAsia="Times New Roman" w:hAnsi="Verdana" w:cs="Times New Roman"/>
          <w:b/>
          <w:bCs/>
          <w:color w:val="000000"/>
        </w:rPr>
        <w:t xml:space="preserve">ethoxylated </w:t>
      </w:r>
      <w:proofErr w:type="spellStart"/>
      <w:r w:rsidRPr="00F043F9">
        <w:rPr>
          <w:rFonts w:ascii="Verdana" w:eastAsia="Times New Roman" w:hAnsi="Verdana" w:cs="Times New Roman"/>
          <w:b/>
          <w:bCs/>
          <w:color w:val="000000"/>
        </w:rPr>
        <w:t>octylphenol</w:t>
      </w:r>
      <w:proofErr w:type="spellEnd"/>
      <w:r w:rsidRPr="00F043F9">
        <w:rPr>
          <w:rFonts w:ascii="Verdana" w:eastAsia="Times New Roman" w:hAnsi="Verdana" w:cs="Times New Roman"/>
          <w:color w:val="000000"/>
        </w:rPr>
        <w:t> with an average of 7–9 ethylene oxide moieties as new entries in the list of substances considered as not falling within the scope of Regulation (EC) No 470/2009 under the heading of </w:t>
      </w:r>
      <w:hyperlink r:id="rId16" w:tgtFrame="_blank" w:tooltip="A constituent of a medicine other than the active substance." w:history="1">
        <w:r w:rsidRPr="00F043F9">
          <w:rPr>
            <w:rFonts w:ascii="Verdana" w:eastAsia="Times New Roman" w:hAnsi="Verdana" w:cs="Times New Roman"/>
            <w:color w:val="000000"/>
            <w:u w:val="single"/>
          </w:rPr>
          <w:t>excipients</w:t>
        </w:r>
      </w:hyperlink>
      <w:r w:rsidRPr="00F043F9">
        <w:rPr>
          <w:rFonts w:ascii="Verdana" w:eastAsia="Times New Roman" w:hAnsi="Verdana" w:cs="Times New Roman"/>
          <w:color w:val="000000"/>
        </w:rPr>
        <w:t> and adopted a revised list (EMA/</w:t>
      </w:r>
      <w:hyperlink r:id="rId17" w:tgtFrame="_blank" w:tooltip="Committee for Medicinal Products for Veterinary Use -  the committee that is responsible for preparing the Agency's opinions on all questions concerning veterinary medicines. &#13; &#13; More information can be found under 'Committee for Medicinal Products for Veterinary Use (CVMP)'." w:history="1">
        <w:r w:rsidRPr="00F043F9">
          <w:rPr>
            <w:rFonts w:ascii="Verdana" w:eastAsia="Times New Roman" w:hAnsi="Verdana" w:cs="Times New Roman"/>
            <w:color w:val="000000"/>
            <w:u w:val="single"/>
          </w:rPr>
          <w:t>CVMP</w:t>
        </w:r>
      </w:hyperlink>
      <w:r w:rsidRPr="00F043F9">
        <w:rPr>
          <w:rFonts w:ascii="Verdana" w:eastAsia="Times New Roman" w:hAnsi="Verdana" w:cs="Times New Roman"/>
          <w:color w:val="000000"/>
        </w:rPr>
        <w:t>/519714/2009-Rev. 41). This decision followed the Committee’s review of two requests that were submitted in accordance with the relevant </w:t>
      </w:r>
      <w:hyperlink r:id="rId18" w:tgtFrame="_blank" w:tooltip="Committee for Medicinal Products for Veterinary Use -  the committee that is responsible for preparing the Agency's opinions on all questions concerning veterinary medicines. &#13; &#13; More information can be found under 'Committee for Medicinal Products for Veterinary Use (CVMP)'." w:history="1">
        <w:r w:rsidRPr="00F043F9">
          <w:rPr>
            <w:rFonts w:ascii="Verdana" w:eastAsia="Times New Roman" w:hAnsi="Verdana" w:cs="Times New Roman"/>
            <w:color w:val="000000"/>
            <w:u w:val="single"/>
          </w:rPr>
          <w:t>CVMP</w:t>
        </w:r>
      </w:hyperlink>
      <w:r w:rsidRPr="00F043F9">
        <w:rPr>
          <w:rFonts w:ascii="Verdana" w:eastAsia="Times New Roman" w:hAnsi="Verdana" w:cs="Times New Roman"/>
          <w:color w:val="000000"/>
        </w:rPr>
        <w:t> guidance.</w:t>
      </w:r>
    </w:p>
    <w:p w14:paraId="597BF727" w14:textId="77777777" w:rsidR="00F043F9" w:rsidRPr="00F043F9" w:rsidRDefault="00F043F9" w:rsidP="00F043F9">
      <w:pPr>
        <w:spacing w:before="100" w:beforeAutospacing="1" w:after="100" w:afterAutospacing="1"/>
        <w:rPr>
          <w:rFonts w:ascii="Verdana" w:eastAsia="Times New Roman" w:hAnsi="Verdana" w:cs="Times New Roman"/>
          <w:color w:val="000000"/>
        </w:rPr>
      </w:pPr>
      <w:r w:rsidRPr="00F043F9">
        <w:rPr>
          <w:rFonts w:ascii="Verdana" w:eastAsia="Times New Roman" w:hAnsi="Verdana" w:cs="Times New Roman"/>
          <w:color w:val="000000"/>
        </w:rPr>
        <w:t>The document will be published on the Agency’s website.</w:t>
      </w:r>
    </w:p>
    <w:p w14:paraId="03C57627" w14:textId="77777777" w:rsidR="00F043F9" w:rsidRPr="00F043F9" w:rsidRDefault="00F043F9" w:rsidP="00F043F9">
      <w:pPr>
        <w:spacing w:before="100" w:beforeAutospacing="1" w:after="100" w:afterAutospacing="1"/>
        <w:outlineLvl w:val="3"/>
        <w:rPr>
          <w:rFonts w:ascii="Verdana" w:eastAsia="Times New Roman" w:hAnsi="Verdana" w:cs="Times New Roman"/>
          <w:b/>
          <w:bCs/>
          <w:color w:val="404040"/>
        </w:rPr>
      </w:pPr>
      <w:r w:rsidRPr="00F043F9">
        <w:rPr>
          <w:rFonts w:ascii="Verdana" w:eastAsia="Times New Roman" w:hAnsi="Verdana" w:cs="Times New Roman"/>
          <w:b/>
          <w:bCs/>
          <w:color w:val="404040"/>
        </w:rPr>
        <w:t>Scientific advice</w:t>
      </w:r>
    </w:p>
    <w:p w14:paraId="4952679F" w14:textId="77777777" w:rsidR="00F043F9" w:rsidRPr="00F043F9" w:rsidRDefault="00F043F9" w:rsidP="00F043F9">
      <w:pPr>
        <w:spacing w:beforeAutospacing="1" w:afterAutospacing="1"/>
        <w:rPr>
          <w:rFonts w:ascii="Verdana" w:eastAsia="Times New Roman" w:hAnsi="Verdana" w:cs="Times New Roman"/>
          <w:color w:val="000000"/>
        </w:rPr>
      </w:pPr>
      <w:r w:rsidRPr="00F043F9">
        <w:rPr>
          <w:rFonts w:ascii="Verdana" w:eastAsia="Times New Roman" w:hAnsi="Verdana" w:cs="Times New Roman"/>
          <w:color w:val="000000"/>
        </w:rPr>
        <w:t>The Committee adopted two separate </w:t>
      </w:r>
      <w:hyperlink r:id="rId19" w:tgtFrame="_blank" w:tooltip="The provision of advice by the European Medicines Agency on the appropriate tests and studies required in the development of a medicine or on the quality of a medicine. &#13; &#13; More information can be found under 'Scientific advice and protocol assistance'." w:history="1">
        <w:r w:rsidRPr="00F043F9">
          <w:rPr>
            <w:rFonts w:ascii="Verdana" w:eastAsia="Times New Roman" w:hAnsi="Verdana" w:cs="Times New Roman"/>
            <w:color w:val="000000"/>
            <w:u w:val="single"/>
          </w:rPr>
          <w:t>scientific advice</w:t>
        </w:r>
      </w:hyperlink>
      <w:r w:rsidRPr="00F043F9">
        <w:rPr>
          <w:rFonts w:ascii="Verdana" w:eastAsia="Times New Roman" w:hAnsi="Verdana" w:cs="Times New Roman"/>
          <w:color w:val="000000"/>
        </w:rPr>
        <w:t> reports further to requests for:</w:t>
      </w:r>
    </w:p>
    <w:p w14:paraId="795E141A" w14:textId="77777777" w:rsidR="00F043F9" w:rsidRPr="00F043F9" w:rsidRDefault="00F043F9" w:rsidP="00F043F9">
      <w:pPr>
        <w:numPr>
          <w:ilvl w:val="0"/>
          <w:numId w:val="1"/>
        </w:numPr>
        <w:spacing w:beforeAutospacing="1" w:afterAutospacing="1"/>
        <w:rPr>
          <w:rFonts w:ascii="Verdana" w:eastAsia="Times New Roman" w:hAnsi="Verdana" w:cs="Times New Roman"/>
          <w:color w:val="000000"/>
        </w:rPr>
      </w:pPr>
      <w:r w:rsidRPr="00F043F9">
        <w:rPr>
          <w:rFonts w:ascii="Verdana" w:eastAsia="Times New Roman" w:hAnsi="Verdana" w:cs="Times New Roman"/>
          <w:color w:val="000000"/>
        </w:rPr>
        <w:t>initial advice on </w:t>
      </w:r>
      <w:hyperlink r:id="rId20" w:tgtFrame="_blank" w:tooltip="The measurement of a medicine's desired effect under ideal conditions, such as in a clinical trial." w:history="1">
        <w:r w:rsidRPr="00F043F9">
          <w:rPr>
            <w:rFonts w:ascii="Verdana" w:eastAsia="Times New Roman" w:hAnsi="Verdana" w:cs="Times New Roman"/>
            <w:color w:val="000000"/>
            <w:u w:val="single"/>
          </w:rPr>
          <w:t>efficacy</w:t>
        </w:r>
      </w:hyperlink>
      <w:r w:rsidRPr="00F043F9">
        <w:rPr>
          <w:rFonts w:ascii="Verdana" w:eastAsia="Times New Roman" w:hAnsi="Verdana" w:cs="Times New Roman"/>
          <w:color w:val="000000"/>
        </w:rPr>
        <w:t> issues for an antimicrobial veterinary </w:t>
      </w:r>
      <w:hyperlink r:id="rId21" w:tgtFrame="_blank" w:tooltip="A substance or combination of substances that is intended to treat, prevent or diagnose a disease, or to restore, correct or modify physiological functions by exerting a pharmacological, immunological or metabolic action." w:history="1">
        <w:r w:rsidRPr="00F043F9">
          <w:rPr>
            <w:rFonts w:ascii="Verdana" w:eastAsia="Times New Roman" w:hAnsi="Verdana" w:cs="Times New Roman"/>
            <w:color w:val="000000"/>
            <w:u w:val="single"/>
          </w:rPr>
          <w:t>medicinal product</w:t>
        </w:r>
      </w:hyperlink>
      <w:r w:rsidRPr="00F043F9">
        <w:rPr>
          <w:rFonts w:ascii="Verdana" w:eastAsia="Times New Roman" w:hAnsi="Verdana" w:cs="Times New Roman"/>
          <w:color w:val="000000"/>
        </w:rPr>
        <w:t> for pigs;</w:t>
      </w:r>
    </w:p>
    <w:p w14:paraId="29362561" w14:textId="77777777" w:rsidR="00F043F9" w:rsidRPr="00F043F9" w:rsidRDefault="00F043F9" w:rsidP="00F043F9">
      <w:pPr>
        <w:numPr>
          <w:ilvl w:val="0"/>
          <w:numId w:val="1"/>
        </w:numPr>
        <w:spacing w:beforeAutospacing="1" w:afterAutospacing="1"/>
        <w:rPr>
          <w:rFonts w:ascii="Verdana" w:eastAsia="Times New Roman" w:hAnsi="Verdana" w:cs="Times New Roman"/>
          <w:color w:val="000000"/>
        </w:rPr>
      </w:pPr>
      <w:r w:rsidRPr="00F043F9">
        <w:rPr>
          <w:rFonts w:ascii="Verdana" w:eastAsia="Times New Roman" w:hAnsi="Verdana" w:cs="Times New Roman"/>
          <w:color w:val="000000"/>
        </w:rPr>
        <w:t>initial advice on quality issues for an immunological veterinary </w:t>
      </w:r>
      <w:hyperlink r:id="rId22" w:tgtFrame="_blank" w:tooltip="A substance or combination of substances that is intended to treat, prevent or diagnose a disease, or to restore, correct or modify physiological functions by exerting a pharmacological, immunological or metabolic action." w:history="1">
        <w:r w:rsidRPr="00F043F9">
          <w:rPr>
            <w:rFonts w:ascii="Verdana" w:eastAsia="Times New Roman" w:hAnsi="Verdana" w:cs="Times New Roman"/>
            <w:color w:val="000000"/>
            <w:u w:val="single"/>
          </w:rPr>
          <w:t>medicinal product</w:t>
        </w:r>
      </w:hyperlink>
      <w:r w:rsidRPr="00F043F9">
        <w:rPr>
          <w:rFonts w:ascii="Verdana" w:eastAsia="Times New Roman" w:hAnsi="Verdana" w:cs="Times New Roman"/>
          <w:color w:val="000000"/>
        </w:rPr>
        <w:t> for horses.</w:t>
      </w:r>
    </w:p>
    <w:p w14:paraId="1D44BE80" w14:textId="77777777" w:rsidR="00F043F9" w:rsidRPr="00F043F9" w:rsidRDefault="00F043F9" w:rsidP="00F043F9">
      <w:pPr>
        <w:spacing w:before="100" w:beforeAutospacing="1" w:after="100" w:afterAutospacing="1"/>
        <w:outlineLvl w:val="3"/>
        <w:rPr>
          <w:rFonts w:ascii="Verdana" w:eastAsia="Times New Roman" w:hAnsi="Verdana" w:cs="Times New Roman"/>
          <w:b/>
          <w:bCs/>
          <w:color w:val="404040"/>
        </w:rPr>
      </w:pPr>
      <w:r w:rsidRPr="00F043F9">
        <w:rPr>
          <w:rFonts w:ascii="Verdana" w:eastAsia="Times New Roman" w:hAnsi="Verdana" w:cs="Times New Roman"/>
          <w:b/>
          <w:bCs/>
          <w:color w:val="404040"/>
        </w:rPr>
        <w:t>Minor use, minor species (MUMS)/limited market</w:t>
      </w:r>
    </w:p>
    <w:p w14:paraId="714CFA2E" w14:textId="77777777" w:rsidR="00F043F9" w:rsidRPr="00F043F9" w:rsidRDefault="00F043F9" w:rsidP="00F043F9">
      <w:pPr>
        <w:spacing w:beforeAutospacing="1" w:afterAutospacing="1"/>
        <w:rPr>
          <w:rFonts w:ascii="Verdana" w:eastAsia="Times New Roman" w:hAnsi="Verdana" w:cs="Times New Roman"/>
          <w:color w:val="000000"/>
        </w:rPr>
      </w:pPr>
      <w:r w:rsidRPr="00F043F9">
        <w:rPr>
          <w:rFonts w:ascii="Verdana" w:eastAsia="Times New Roman" w:hAnsi="Verdana" w:cs="Times New Roman"/>
          <w:color w:val="000000"/>
        </w:rPr>
        <w:t>Following the Committee’s review of three requests for classification under the MUMS/limited market policy, the </w:t>
      </w:r>
      <w:hyperlink r:id="rId23" w:tgtFrame="_blank" w:tooltip="Committee for Medicinal Products for Veterinary Use -  the committee that is responsible for preparing the Agency's opinions on all questions concerning veterinary medicines. &#13; &#13; More information can be found under 'Committee for Medicinal Products for Veterinary Use (CVMP)'." w:history="1">
        <w:r w:rsidRPr="00F043F9">
          <w:rPr>
            <w:rFonts w:ascii="Verdana" w:eastAsia="Times New Roman" w:hAnsi="Verdana" w:cs="Times New Roman"/>
            <w:color w:val="000000"/>
            <w:u w:val="single"/>
          </w:rPr>
          <w:t>CVMP</w:t>
        </w:r>
      </w:hyperlink>
      <w:r w:rsidRPr="00F043F9">
        <w:rPr>
          <w:rFonts w:ascii="Verdana" w:eastAsia="Times New Roman" w:hAnsi="Verdana" w:cs="Times New Roman"/>
          <w:color w:val="000000"/>
        </w:rPr>
        <w:t> classified:</w:t>
      </w:r>
    </w:p>
    <w:p w14:paraId="3126B411" w14:textId="77777777" w:rsidR="00F043F9" w:rsidRPr="00F043F9" w:rsidRDefault="00F043F9" w:rsidP="00F043F9">
      <w:pPr>
        <w:numPr>
          <w:ilvl w:val="0"/>
          <w:numId w:val="2"/>
        </w:numPr>
        <w:spacing w:before="100" w:beforeAutospacing="1" w:after="100" w:afterAutospacing="1"/>
        <w:rPr>
          <w:rFonts w:ascii="Verdana" w:eastAsia="Times New Roman" w:hAnsi="Verdana" w:cs="Times New Roman"/>
          <w:color w:val="000000"/>
        </w:rPr>
      </w:pPr>
      <w:r w:rsidRPr="00F043F9">
        <w:rPr>
          <w:rFonts w:ascii="Verdana" w:eastAsia="Times New Roman" w:hAnsi="Verdana" w:cs="Times New Roman"/>
          <w:color w:val="000000"/>
        </w:rPr>
        <w:t>A product (</w:t>
      </w:r>
      <w:proofErr w:type="spellStart"/>
      <w:r w:rsidRPr="00F043F9">
        <w:rPr>
          <w:rFonts w:ascii="Verdana" w:eastAsia="Times New Roman" w:hAnsi="Verdana" w:cs="Times New Roman"/>
          <w:color w:val="000000"/>
        </w:rPr>
        <w:t>ATCvet</w:t>
      </w:r>
      <w:proofErr w:type="spellEnd"/>
      <w:r w:rsidRPr="00F043F9">
        <w:rPr>
          <w:rFonts w:ascii="Verdana" w:eastAsia="Times New Roman" w:hAnsi="Verdana" w:cs="Times New Roman"/>
          <w:color w:val="000000"/>
        </w:rPr>
        <w:t xml:space="preserve"> therapeutic category QV: Various) for dogs as indicated for MUMS/limited market and eligible for reduced data requirements, where applicable. The product is not eligible for financial incentives as it is intended for use in non-food producing species;</w:t>
      </w:r>
    </w:p>
    <w:p w14:paraId="34D6C5AC" w14:textId="77777777" w:rsidR="00F043F9" w:rsidRPr="00F043F9" w:rsidRDefault="00F043F9" w:rsidP="00F043F9">
      <w:pPr>
        <w:numPr>
          <w:ilvl w:val="0"/>
          <w:numId w:val="2"/>
        </w:numPr>
        <w:spacing w:beforeAutospacing="1" w:afterAutospacing="1"/>
        <w:rPr>
          <w:rFonts w:ascii="Verdana" w:eastAsia="Times New Roman" w:hAnsi="Verdana" w:cs="Times New Roman"/>
          <w:color w:val="000000"/>
        </w:rPr>
      </w:pPr>
      <w:r w:rsidRPr="00F043F9">
        <w:rPr>
          <w:rFonts w:ascii="Verdana" w:eastAsia="Times New Roman" w:hAnsi="Verdana" w:cs="Times New Roman"/>
          <w:color w:val="000000"/>
        </w:rPr>
        <w:lastRenderedPageBreak/>
        <w:t>A product (</w:t>
      </w:r>
      <w:proofErr w:type="spellStart"/>
      <w:r w:rsidRPr="00F043F9">
        <w:rPr>
          <w:rFonts w:ascii="Verdana" w:eastAsia="Times New Roman" w:hAnsi="Verdana" w:cs="Times New Roman"/>
          <w:color w:val="000000"/>
        </w:rPr>
        <w:t>ATCvet</w:t>
      </w:r>
      <w:proofErr w:type="spellEnd"/>
      <w:r w:rsidRPr="00F043F9">
        <w:rPr>
          <w:rFonts w:ascii="Verdana" w:eastAsia="Times New Roman" w:hAnsi="Verdana" w:cs="Times New Roman"/>
          <w:color w:val="000000"/>
        </w:rPr>
        <w:t xml:space="preserve"> blood and blood forming organs) for horses as indicated for MUMS/limited market and eligible for reduced data requirements, where applicable. The product is not eligible for financial incentives in line with the guidance on the classification of veterinary </w:t>
      </w:r>
      <w:hyperlink r:id="rId24" w:tgtFrame="_blank" w:tooltip="A substance or combination of substances that is intended to treat, prevent or diagnose a disease, or to restore, correct or modify physiological functions by exerting a pharmacological, immunological or metabolic action." w:history="1">
        <w:r w:rsidRPr="00F043F9">
          <w:rPr>
            <w:rFonts w:ascii="Verdana" w:eastAsia="Times New Roman" w:hAnsi="Verdana" w:cs="Times New Roman"/>
            <w:color w:val="000000"/>
            <w:u w:val="single"/>
          </w:rPr>
          <w:t>medicinal products</w:t>
        </w:r>
      </w:hyperlink>
      <w:r w:rsidRPr="00F043F9">
        <w:rPr>
          <w:rFonts w:ascii="Verdana" w:eastAsia="Times New Roman" w:hAnsi="Verdana" w:cs="Times New Roman"/>
          <w:color w:val="000000"/>
        </w:rPr>
        <w:t> indicated for minor use minor species/limited market (EMA/</w:t>
      </w:r>
      <w:hyperlink r:id="rId25" w:tgtFrame="_blank" w:tooltip="Committee for Medicinal Products for Veterinary Use -  the committee that is responsible for preparing the Agency's opinions on all questions concerning veterinary medicines. &#13; &#13; More information can be found under 'Committee for Medicinal Products for Veterinary Use (CVMP)'." w:history="1">
        <w:r w:rsidRPr="00F043F9">
          <w:rPr>
            <w:rFonts w:ascii="Verdana" w:eastAsia="Times New Roman" w:hAnsi="Verdana" w:cs="Times New Roman"/>
            <w:color w:val="000000"/>
            <w:u w:val="single"/>
          </w:rPr>
          <w:t>CVMP</w:t>
        </w:r>
      </w:hyperlink>
      <w:r w:rsidRPr="00F043F9">
        <w:rPr>
          <w:rFonts w:ascii="Verdana" w:eastAsia="Times New Roman" w:hAnsi="Verdana" w:cs="Times New Roman"/>
          <w:color w:val="000000"/>
        </w:rPr>
        <w:t>/388694/2014) which indicates products for horses as generally not eligible;</w:t>
      </w:r>
    </w:p>
    <w:p w14:paraId="2E6A14A1" w14:textId="77777777" w:rsidR="00F043F9" w:rsidRPr="00F043F9" w:rsidRDefault="00F043F9" w:rsidP="00F043F9">
      <w:pPr>
        <w:numPr>
          <w:ilvl w:val="0"/>
          <w:numId w:val="2"/>
        </w:numPr>
        <w:spacing w:beforeAutospacing="1" w:afterAutospacing="1"/>
        <w:rPr>
          <w:rFonts w:ascii="Verdana" w:eastAsia="Times New Roman" w:hAnsi="Verdana" w:cs="Times New Roman"/>
          <w:color w:val="000000"/>
        </w:rPr>
      </w:pPr>
      <w:r w:rsidRPr="00F043F9">
        <w:rPr>
          <w:rFonts w:ascii="Verdana" w:eastAsia="Times New Roman" w:hAnsi="Verdana" w:cs="Times New Roman"/>
          <w:color w:val="000000"/>
        </w:rPr>
        <w:t>An immunological product for horses as indicated for MUMS/limited market and eligible for reduced data requirements, where applicable. The product is not eligible for financial incentives in line with the guidance on the classification of veterinary </w:t>
      </w:r>
      <w:hyperlink r:id="rId26" w:tgtFrame="_blank" w:tooltip="A substance or combination of substances that is intended to treat, prevent or diagnose a disease, or to restore, correct or modify physiological functions by exerting a pharmacological, immunological or metabolic action." w:history="1">
        <w:r w:rsidRPr="00F043F9">
          <w:rPr>
            <w:rFonts w:ascii="Verdana" w:eastAsia="Times New Roman" w:hAnsi="Verdana" w:cs="Times New Roman"/>
            <w:color w:val="000000"/>
            <w:u w:val="single"/>
          </w:rPr>
          <w:t>medicinal products</w:t>
        </w:r>
      </w:hyperlink>
      <w:r w:rsidRPr="00F043F9">
        <w:rPr>
          <w:rFonts w:ascii="Verdana" w:eastAsia="Times New Roman" w:hAnsi="Verdana" w:cs="Times New Roman"/>
          <w:color w:val="000000"/>
        </w:rPr>
        <w:t> indicated for minor use minor species / limited market (EMA/</w:t>
      </w:r>
      <w:hyperlink r:id="rId27" w:tgtFrame="_blank" w:tooltip="Committee for Medicinal Products for Veterinary Use -  the committee that is responsible for preparing the Agency's opinions on all questions concerning veterinary medicines. &#13; &#13; More information can be found under 'Committee for Medicinal Products for Veterinary Use (CVMP)'." w:history="1">
        <w:r w:rsidRPr="00F043F9">
          <w:rPr>
            <w:rFonts w:ascii="Verdana" w:eastAsia="Times New Roman" w:hAnsi="Verdana" w:cs="Times New Roman"/>
            <w:color w:val="000000"/>
            <w:u w:val="single"/>
          </w:rPr>
          <w:t>CVMP</w:t>
        </w:r>
      </w:hyperlink>
      <w:r w:rsidRPr="00F043F9">
        <w:rPr>
          <w:rFonts w:ascii="Verdana" w:eastAsia="Times New Roman" w:hAnsi="Verdana" w:cs="Times New Roman"/>
          <w:color w:val="000000"/>
        </w:rPr>
        <w:t>/388694/2014) which indicates products for horses as generally not eligible.</w:t>
      </w:r>
    </w:p>
    <w:p w14:paraId="36A6205B" w14:textId="77777777" w:rsidR="00F043F9" w:rsidRPr="00F043F9" w:rsidRDefault="00F043F9" w:rsidP="00F043F9">
      <w:pPr>
        <w:spacing w:beforeAutospacing="1" w:afterAutospacing="1"/>
        <w:rPr>
          <w:rFonts w:ascii="Verdana" w:eastAsia="Times New Roman" w:hAnsi="Verdana" w:cs="Times New Roman"/>
          <w:color w:val="000000"/>
        </w:rPr>
      </w:pPr>
      <w:r w:rsidRPr="00F043F9">
        <w:rPr>
          <w:rFonts w:ascii="Verdana" w:eastAsia="Times New Roman" w:hAnsi="Verdana" w:cs="Times New Roman"/>
          <w:color w:val="000000"/>
        </w:rPr>
        <w:t>Following the Committee’s review of a request for reclassification under the MUMS/limited market policy, the </w:t>
      </w:r>
      <w:hyperlink r:id="rId28" w:tgtFrame="_blank" w:tooltip="Committee for Medicinal Products for Veterinary Use -  the committee that is responsible for preparing the Agency's opinions on all questions concerning veterinary medicines. &#13; &#13; More information can be found under 'Committee for Medicinal Products for Veterinary Use (CVMP)'." w:history="1">
        <w:r w:rsidRPr="00F043F9">
          <w:rPr>
            <w:rFonts w:ascii="Verdana" w:eastAsia="Times New Roman" w:hAnsi="Verdana" w:cs="Times New Roman"/>
            <w:color w:val="000000"/>
            <w:u w:val="single"/>
          </w:rPr>
          <w:t>CVMP</w:t>
        </w:r>
      </w:hyperlink>
      <w:r w:rsidRPr="00F043F9">
        <w:rPr>
          <w:rFonts w:ascii="Verdana" w:eastAsia="Times New Roman" w:hAnsi="Verdana" w:cs="Times New Roman"/>
          <w:color w:val="000000"/>
        </w:rPr>
        <w:t> reclassified an immunological product for dogs as indicated for MUMS/limited market and eligible for reduced data requirements, where applicable. The product is not eligible for financial incentives as it is intended for use in non-food producing species.</w:t>
      </w:r>
    </w:p>
    <w:p w14:paraId="1E3421EC" w14:textId="77777777" w:rsidR="00F043F9" w:rsidRPr="00F043F9" w:rsidRDefault="00F043F9" w:rsidP="00F043F9">
      <w:pPr>
        <w:spacing w:before="100" w:beforeAutospacing="1" w:after="100" w:afterAutospacing="1"/>
        <w:outlineLvl w:val="3"/>
        <w:rPr>
          <w:rFonts w:ascii="Verdana" w:eastAsia="Times New Roman" w:hAnsi="Verdana" w:cs="Times New Roman"/>
          <w:b/>
          <w:bCs/>
          <w:color w:val="404040"/>
        </w:rPr>
      </w:pPr>
      <w:r w:rsidRPr="00F043F9">
        <w:rPr>
          <w:rFonts w:ascii="Verdana" w:eastAsia="Times New Roman" w:hAnsi="Verdana" w:cs="Times New Roman"/>
          <w:b/>
          <w:bCs/>
          <w:color w:val="404040"/>
        </w:rPr>
        <w:t>Pharmacovigilance</w:t>
      </w:r>
    </w:p>
    <w:p w14:paraId="51060C90" w14:textId="77777777" w:rsidR="00F043F9" w:rsidRPr="00F043F9" w:rsidRDefault="00F043F9" w:rsidP="00F043F9">
      <w:pPr>
        <w:spacing w:beforeAutospacing="1" w:afterAutospacing="1"/>
        <w:rPr>
          <w:rFonts w:ascii="Verdana" w:eastAsia="Times New Roman" w:hAnsi="Verdana" w:cs="Times New Roman"/>
          <w:color w:val="000000"/>
        </w:rPr>
      </w:pPr>
      <w:r w:rsidRPr="00F043F9">
        <w:rPr>
          <w:rFonts w:ascii="Verdana" w:eastAsia="Times New Roman" w:hAnsi="Verdana" w:cs="Times New Roman"/>
          <w:color w:val="000000"/>
        </w:rPr>
        <w:t>The Committee reviewed the PSURs for </w:t>
      </w:r>
      <w:proofErr w:type="spellStart"/>
      <w:r w:rsidRPr="00F043F9">
        <w:rPr>
          <w:rFonts w:ascii="Verdana" w:eastAsia="Times New Roman" w:hAnsi="Verdana" w:cs="Times New Roman"/>
          <w:b/>
          <w:bCs/>
          <w:color w:val="000000"/>
        </w:rPr>
        <w:t>Easotic</w:t>
      </w:r>
      <w:proofErr w:type="spellEnd"/>
      <w:r w:rsidRPr="00F043F9">
        <w:rPr>
          <w:rFonts w:ascii="Verdana" w:eastAsia="Times New Roman" w:hAnsi="Verdana" w:cs="Times New Roman"/>
          <w:color w:val="000000"/>
        </w:rPr>
        <w:t>,</w:t>
      </w:r>
      <w:r w:rsidRPr="00F043F9">
        <w:rPr>
          <w:rFonts w:ascii="Verdana" w:eastAsia="Times New Roman" w:hAnsi="Verdana" w:cs="Times New Roman"/>
          <w:b/>
          <w:bCs/>
          <w:color w:val="000000"/>
        </w:rPr>
        <w:t> EQUIP WNV</w:t>
      </w:r>
      <w:r w:rsidRPr="00F043F9">
        <w:rPr>
          <w:rFonts w:ascii="Verdana" w:eastAsia="Times New Roman" w:hAnsi="Verdana" w:cs="Times New Roman"/>
          <w:color w:val="000000"/>
        </w:rPr>
        <w:t>, </w:t>
      </w:r>
      <w:proofErr w:type="spellStart"/>
      <w:r w:rsidRPr="00F043F9">
        <w:rPr>
          <w:rFonts w:ascii="Verdana" w:eastAsia="Times New Roman" w:hAnsi="Verdana" w:cs="Times New Roman"/>
          <w:b/>
          <w:bCs/>
          <w:color w:val="000000"/>
        </w:rPr>
        <w:t>Halocur</w:t>
      </w:r>
      <w:proofErr w:type="spellEnd"/>
      <w:r w:rsidRPr="00F043F9">
        <w:rPr>
          <w:rFonts w:ascii="Verdana" w:eastAsia="Times New Roman" w:hAnsi="Verdana" w:cs="Times New Roman"/>
          <w:color w:val="000000"/>
        </w:rPr>
        <w:t>, </w:t>
      </w:r>
      <w:r w:rsidRPr="00F043F9">
        <w:rPr>
          <w:rFonts w:ascii="Verdana" w:eastAsia="Times New Roman" w:hAnsi="Verdana" w:cs="Times New Roman"/>
          <w:b/>
          <w:bCs/>
          <w:color w:val="000000"/>
        </w:rPr>
        <w:t>MS-H vaccine</w:t>
      </w:r>
      <w:r w:rsidRPr="00F043F9">
        <w:rPr>
          <w:rFonts w:ascii="Verdana" w:eastAsia="Times New Roman" w:hAnsi="Verdana" w:cs="Times New Roman"/>
          <w:color w:val="000000"/>
        </w:rPr>
        <w:t>, </w:t>
      </w:r>
      <w:proofErr w:type="spellStart"/>
      <w:r w:rsidRPr="00F043F9">
        <w:rPr>
          <w:rFonts w:ascii="Verdana" w:eastAsia="Times New Roman" w:hAnsi="Verdana" w:cs="Times New Roman"/>
          <w:b/>
          <w:bCs/>
          <w:color w:val="000000"/>
        </w:rPr>
        <w:t>Naxcel</w:t>
      </w:r>
      <w:proofErr w:type="spellEnd"/>
      <w:r w:rsidRPr="00F043F9">
        <w:rPr>
          <w:rFonts w:ascii="Verdana" w:eastAsia="Times New Roman" w:hAnsi="Verdana" w:cs="Times New Roman"/>
          <w:color w:val="000000"/>
        </w:rPr>
        <w:t>,</w:t>
      </w:r>
      <w:r w:rsidRPr="00F043F9">
        <w:rPr>
          <w:rFonts w:ascii="Verdana" w:eastAsia="Times New Roman" w:hAnsi="Verdana" w:cs="Times New Roman"/>
          <w:b/>
          <w:bCs/>
          <w:color w:val="000000"/>
        </w:rPr>
        <w:t> </w:t>
      </w:r>
      <w:proofErr w:type="spellStart"/>
      <w:r w:rsidRPr="00F043F9">
        <w:rPr>
          <w:rFonts w:ascii="Verdana" w:eastAsia="Times New Roman" w:hAnsi="Verdana" w:cs="Times New Roman"/>
          <w:b/>
          <w:bCs/>
          <w:color w:val="000000"/>
        </w:rPr>
        <w:t>Nobivac</w:t>
      </w:r>
      <w:proofErr w:type="spellEnd"/>
      <w:r w:rsidRPr="00F043F9">
        <w:rPr>
          <w:rFonts w:ascii="Verdana" w:eastAsia="Times New Roman" w:hAnsi="Verdana" w:cs="Times New Roman"/>
          <w:b/>
          <w:bCs/>
          <w:color w:val="000000"/>
        </w:rPr>
        <w:t xml:space="preserve"> </w:t>
      </w:r>
      <w:proofErr w:type="spellStart"/>
      <w:r w:rsidRPr="00F043F9">
        <w:rPr>
          <w:rFonts w:ascii="Verdana" w:eastAsia="Times New Roman" w:hAnsi="Verdana" w:cs="Times New Roman"/>
          <w:b/>
          <w:bCs/>
          <w:color w:val="000000"/>
        </w:rPr>
        <w:t>Myxo</w:t>
      </w:r>
      <w:proofErr w:type="spellEnd"/>
      <w:r w:rsidRPr="00F043F9">
        <w:rPr>
          <w:rFonts w:ascii="Verdana" w:eastAsia="Times New Roman" w:hAnsi="Verdana" w:cs="Times New Roman"/>
          <w:b/>
          <w:bCs/>
          <w:color w:val="000000"/>
        </w:rPr>
        <w:t xml:space="preserve"> RHD</w:t>
      </w:r>
      <w:r w:rsidRPr="00F043F9">
        <w:rPr>
          <w:rFonts w:ascii="Verdana" w:eastAsia="Times New Roman" w:hAnsi="Verdana" w:cs="Times New Roman"/>
          <w:color w:val="000000"/>
        </w:rPr>
        <w:t>, </w:t>
      </w:r>
      <w:proofErr w:type="spellStart"/>
      <w:r w:rsidRPr="00F043F9">
        <w:rPr>
          <w:rFonts w:ascii="Verdana" w:eastAsia="Times New Roman" w:hAnsi="Verdana" w:cs="Times New Roman"/>
          <w:b/>
          <w:bCs/>
          <w:color w:val="000000"/>
        </w:rPr>
        <w:t>Porcilis</w:t>
      </w:r>
      <w:proofErr w:type="spellEnd"/>
      <w:r w:rsidRPr="00F043F9">
        <w:rPr>
          <w:rFonts w:ascii="Verdana" w:eastAsia="Times New Roman" w:hAnsi="Verdana" w:cs="Times New Roman"/>
          <w:b/>
          <w:bCs/>
          <w:color w:val="000000"/>
        </w:rPr>
        <w:t xml:space="preserve"> PCV M Hyo</w:t>
      </w:r>
      <w:r w:rsidRPr="00F043F9">
        <w:rPr>
          <w:rFonts w:ascii="Verdana" w:eastAsia="Times New Roman" w:hAnsi="Verdana" w:cs="Times New Roman"/>
          <w:color w:val="000000"/>
        </w:rPr>
        <w:t> and </w:t>
      </w:r>
      <w:proofErr w:type="spellStart"/>
      <w:r w:rsidRPr="00F043F9">
        <w:rPr>
          <w:rFonts w:ascii="Verdana" w:eastAsia="Times New Roman" w:hAnsi="Verdana" w:cs="Times New Roman"/>
          <w:b/>
          <w:bCs/>
          <w:color w:val="000000"/>
        </w:rPr>
        <w:t>Zeleris</w:t>
      </w:r>
      <w:proofErr w:type="spellEnd"/>
      <w:r w:rsidRPr="00F043F9">
        <w:rPr>
          <w:rFonts w:ascii="Verdana" w:eastAsia="Times New Roman" w:hAnsi="Verdana" w:cs="Times New Roman"/>
          <w:color w:val="000000"/>
        </w:rPr>
        <w:t>, and concluded that no further action or changes to their </w:t>
      </w:r>
      <w:hyperlink r:id="rId29" w:tgtFrame="_blank" w:tooltip="Documents providing officially approved information for healthcare professionals and patients on a medicine. The product information includes the summary of product characteristics, package leaflet and labelling. &#13; &#13; More information can be found under 'Product-information requirements'." w:history="1">
        <w:r w:rsidRPr="00F043F9">
          <w:rPr>
            <w:rFonts w:ascii="Verdana" w:eastAsia="Times New Roman" w:hAnsi="Verdana" w:cs="Times New Roman"/>
            <w:color w:val="000000"/>
            <w:u w:val="single"/>
          </w:rPr>
          <w:t>product information</w:t>
        </w:r>
      </w:hyperlink>
      <w:r w:rsidRPr="00F043F9">
        <w:rPr>
          <w:rFonts w:ascii="Verdana" w:eastAsia="Times New Roman" w:hAnsi="Verdana" w:cs="Times New Roman"/>
          <w:color w:val="000000"/>
        </w:rPr>
        <w:t> were required.</w:t>
      </w:r>
    </w:p>
    <w:p w14:paraId="701CC222" w14:textId="77777777" w:rsidR="00F043F9" w:rsidRPr="00F043F9" w:rsidRDefault="00F043F9" w:rsidP="00F043F9">
      <w:pPr>
        <w:spacing w:beforeAutospacing="1" w:afterAutospacing="1"/>
        <w:rPr>
          <w:rFonts w:ascii="Verdana" w:eastAsia="Times New Roman" w:hAnsi="Verdana" w:cs="Times New Roman"/>
          <w:color w:val="000000"/>
        </w:rPr>
      </w:pPr>
      <w:r w:rsidRPr="00F043F9">
        <w:rPr>
          <w:rFonts w:ascii="Verdana" w:eastAsia="Times New Roman" w:hAnsi="Verdana" w:cs="Times New Roman"/>
          <w:color w:val="000000"/>
        </w:rPr>
        <w:t>A petition by concerned citizens regarding the safety of </w:t>
      </w:r>
      <w:proofErr w:type="spellStart"/>
      <w:r w:rsidRPr="00F043F9">
        <w:rPr>
          <w:rFonts w:ascii="Verdana" w:eastAsia="Times New Roman" w:hAnsi="Verdana" w:cs="Times New Roman"/>
          <w:b/>
          <w:bCs/>
          <w:color w:val="000000"/>
        </w:rPr>
        <w:t>Bravecto</w:t>
      </w:r>
      <w:proofErr w:type="spellEnd"/>
      <w:r w:rsidRPr="00F043F9">
        <w:rPr>
          <w:rFonts w:ascii="Verdana" w:eastAsia="Times New Roman" w:hAnsi="Verdana" w:cs="Times New Roman"/>
          <w:color w:val="000000"/>
        </w:rPr>
        <w:t> was presented to the </w:t>
      </w:r>
      <w:hyperlink r:id="rId30" w:tgtFrame="_blank" w:tooltip="Committee for Medicinal Products for Veterinary Use -  the committee that is responsible for preparing the Agency's opinions on all questions concerning veterinary medicines. &#13; &#13; More information can be found under 'Committee for Medicinal Products for Veterinary Use (CVMP)'." w:history="1">
        <w:r w:rsidRPr="00F043F9">
          <w:rPr>
            <w:rFonts w:ascii="Verdana" w:eastAsia="Times New Roman" w:hAnsi="Verdana" w:cs="Times New Roman"/>
            <w:color w:val="000000"/>
            <w:u w:val="single"/>
          </w:rPr>
          <w:t>CVMP</w:t>
        </w:r>
      </w:hyperlink>
      <w:r w:rsidRPr="00F043F9">
        <w:rPr>
          <w:rFonts w:ascii="Verdana" w:eastAsia="Times New Roman" w:hAnsi="Verdana" w:cs="Times New Roman"/>
          <w:color w:val="000000"/>
        </w:rPr>
        <w:t>, which considered it along with a video and </w:t>
      </w:r>
      <w:hyperlink r:id="rId31" w:tgtFrame="_blank" w:tooltip="A set of questions addressed to a company during a procedure, such as a marketing authorisation application." w:history="1">
        <w:r w:rsidRPr="00F043F9">
          <w:rPr>
            <w:rFonts w:ascii="Verdana" w:eastAsia="Times New Roman" w:hAnsi="Verdana" w:cs="Times New Roman"/>
            <w:color w:val="000000"/>
            <w:u w:val="single"/>
          </w:rPr>
          <w:t>list of questions</w:t>
        </w:r>
      </w:hyperlink>
      <w:r w:rsidRPr="00F043F9">
        <w:rPr>
          <w:rFonts w:ascii="Verdana" w:eastAsia="Times New Roman" w:hAnsi="Verdana" w:cs="Times New Roman"/>
          <w:color w:val="000000"/>
        </w:rPr>
        <w:t> that were received with the petition. A response to the questions posed will be drafted for adoption at an upcoming meeting of the Committee.</w:t>
      </w:r>
    </w:p>
    <w:p w14:paraId="1A5079AE" w14:textId="77777777" w:rsidR="00F043F9" w:rsidRPr="00F043F9" w:rsidRDefault="00F043F9" w:rsidP="00F043F9">
      <w:pPr>
        <w:spacing w:before="100" w:beforeAutospacing="1" w:after="100" w:afterAutospacing="1"/>
        <w:outlineLvl w:val="3"/>
        <w:rPr>
          <w:rFonts w:ascii="Verdana" w:eastAsia="Times New Roman" w:hAnsi="Verdana" w:cs="Times New Roman"/>
          <w:b/>
          <w:bCs/>
          <w:color w:val="404040"/>
        </w:rPr>
      </w:pPr>
      <w:r w:rsidRPr="00F043F9">
        <w:rPr>
          <w:rFonts w:ascii="Verdana" w:eastAsia="Times New Roman" w:hAnsi="Verdana" w:cs="Times New Roman"/>
          <w:b/>
          <w:bCs/>
          <w:color w:val="404040"/>
        </w:rPr>
        <w:t>Concept papers, guidelines and SOPs</w:t>
      </w:r>
    </w:p>
    <w:p w14:paraId="1C58CE45" w14:textId="77777777" w:rsidR="00F043F9" w:rsidRPr="00F043F9" w:rsidRDefault="00F043F9" w:rsidP="00F043F9">
      <w:pPr>
        <w:spacing w:before="100" w:beforeAutospacing="1" w:after="100" w:afterAutospacing="1"/>
        <w:rPr>
          <w:rFonts w:ascii="Verdana" w:eastAsia="Times New Roman" w:hAnsi="Verdana" w:cs="Times New Roman"/>
          <w:color w:val="000000"/>
        </w:rPr>
      </w:pPr>
      <w:r w:rsidRPr="00F043F9">
        <w:rPr>
          <w:rFonts w:ascii="Verdana" w:eastAsia="Times New Roman" w:hAnsi="Verdana" w:cs="Times New Roman"/>
          <w:b/>
          <w:bCs/>
          <w:i/>
          <w:iCs/>
          <w:color w:val="000000"/>
        </w:rPr>
        <w:t>Antimicrobials</w:t>
      </w:r>
    </w:p>
    <w:p w14:paraId="15EE008A" w14:textId="77777777" w:rsidR="00F043F9" w:rsidRPr="00F043F9" w:rsidRDefault="00F043F9" w:rsidP="00F043F9">
      <w:pPr>
        <w:spacing w:beforeAutospacing="1" w:afterAutospacing="1"/>
        <w:rPr>
          <w:rFonts w:ascii="Verdana" w:eastAsia="Times New Roman" w:hAnsi="Verdana" w:cs="Times New Roman"/>
          <w:color w:val="000000"/>
        </w:rPr>
      </w:pPr>
      <w:r w:rsidRPr="00F043F9">
        <w:rPr>
          <w:rFonts w:ascii="Verdana" w:eastAsia="Times New Roman" w:hAnsi="Verdana" w:cs="Times New Roman"/>
          <w:color w:val="000000"/>
        </w:rPr>
        <w:t>The Committee adopted a </w:t>
      </w:r>
      <w:hyperlink r:id="rId32" w:tgtFrame="_blank" w:tooltip="Committee for Medicinal Products for Veterinary Use -  the committee that is responsible for preparing the Agency's opinions on all questions concerning veterinary medicines. &#13; &#13; More information can be found under 'Committee for Medicinal Products for Veterinary Use (CVMP)'." w:history="1">
        <w:r w:rsidRPr="00F043F9">
          <w:rPr>
            <w:rFonts w:ascii="Verdana" w:eastAsia="Times New Roman" w:hAnsi="Verdana" w:cs="Times New Roman"/>
            <w:color w:val="000000"/>
            <w:u w:val="single"/>
          </w:rPr>
          <w:t>CVMP</w:t>
        </w:r>
      </w:hyperlink>
      <w:r w:rsidRPr="00F043F9">
        <w:rPr>
          <w:rFonts w:ascii="Verdana" w:eastAsia="Times New Roman" w:hAnsi="Verdana" w:cs="Times New Roman"/>
          <w:color w:val="000000"/>
        </w:rPr>
        <w:t> draft </w:t>
      </w:r>
      <w:hyperlink r:id="rId33" w:tgtFrame="_blank" w:tooltip="A document outlining the view of the European Medicines Agency or one of its committees, working parties or other groups on a particular issue. &#13; &#13; More information can be found under 'Scientific guidelines'." w:history="1">
        <w:r w:rsidRPr="00F043F9">
          <w:rPr>
            <w:rFonts w:ascii="Verdana" w:eastAsia="Times New Roman" w:hAnsi="Verdana" w:cs="Times New Roman"/>
            <w:color w:val="000000"/>
            <w:u w:val="single"/>
          </w:rPr>
          <w:t>reflection paper</w:t>
        </w:r>
      </w:hyperlink>
      <w:r w:rsidRPr="00F043F9">
        <w:rPr>
          <w:rFonts w:ascii="Verdana" w:eastAsia="Times New Roman" w:hAnsi="Verdana" w:cs="Times New Roman"/>
          <w:color w:val="000000"/>
        </w:rPr>
        <w:t xml:space="preserve"> on ‘Promoting the </w:t>
      </w:r>
      <w:proofErr w:type="spellStart"/>
      <w:r w:rsidRPr="00F043F9">
        <w:rPr>
          <w:rFonts w:ascii="Verdana" w:eastAsia="Times New Roman" w:hAnsi="Verdana" w:cs="Times New Roman"/>
          <w:color w:val="000000"/>
        </w:rPr>
        <w:t>authorisation</w:t>
      </w:r>
      <w:proofErr w:type="spellEnd"/>
      <w:r w:rsidRPr="00F043F9">
        <w:rPr>
          <w:rFonts w:ascii="Verdana" w:eastAsia="Times New Roman" w:hAnsi="Verdana" w:cs="Times New Roman"/>
          <w:color w:val="000000"/>
        </w:rPr>
        <w:t xml:space="preserve"> of alternatives to antimicrobials in the EU’ (EMA/</w:t>
      </w:r>
      <w:hyperlink r:id="rId34" w:tgtFrame="_blank" w:tooltip="Committee for Medicinal Products for Veterinary Use -  the committee that is responsible for preparing the Agency's opinions on all questions concerning veterinary medicines. &#13; &#13; More information can be found under 'Committee for Medicinal Products for Veterinary Use (CVMP)'." w:history="1">
        <w:r w:rsidRPr="00F043F9">
          <w:rPr>
            <w:rFonts w:ascii="Verdana" w:eastAsia="Times New Roman" w:hAnsi="Verdana" w:cs="Times New Roman"/>
            <w:color w:val="000000"/>
            <w:u w:val="single"/>
          </w:rPr>
          <w:t>CVMP</w:t>
        </w:r>
      </w:hyperlink>
      <w:r w:rsidRPr="00F043F9">
        <w:rPr>
          <w:rFonts w:ascii="Verdana" w:eastAsia="Times New Roman" w:hAnsi="Verdana" w:cs="Times New Roman"/>
          <w:color w:val="000000"/>
        </w:rPr>
        <w:t>/461776/2017) for release for a 6-month period of public consultation. This </w:t>
      </w:r>
      <w:hyperlink r:id="rId35" w:tgtFrame="_blank" w:tooltip="A document outlining the view of the European Medicines Agency or one of its committees, working parties or other groups on a particular issue. &#13; &#13; More information can be found under 'Scientific guidelines'." w:history="1">
        <w:r w:rsidRPr="00F043F9">
          <w:rPr>
            <w:rFonts w:ascii="Verdana" w:eastAsia="Times New Roman" w:hAnsi="Verdana" w:cs="Times New Roman"/>
            <w:color w:val="000000"/>
            <w:u w:val="single"/>
          </w:rPr>
          <w:t>reflection paper</w:t>
        </w:r>
      </w:hyperlink>
      <w:r w:rsidRPr="00F043F9">
        <w:rPr>
          <w:rFonts w:ascii="Verdana" w:eastAsia="Times New Roman" w:hAnsi="Verdana" w:cs="Times New Roman"/>
          <w:color w:val="000000"/>
        </w:rPr>
        <w:t xml:space="preserve"> has been developed to identify additional measures that could be taken to promote the </w:t>
      </w:r>
      <w:proofErr w:type="spellStart"/>
      <w:r w:rsidRPr="00F043F9">
        <w:rPr>
          <w:rFonts w:ascii="Verdana" w:eastAsia="Times New Roman" w:hAnsi="Verdana" w:cs="Times New Roman"/>
          <w:color w:val="000000"/>
        </w:rPr>
        <w:t>authorisation</w:t>
      </w:r>
      <w:proofErr w:type="spellEnd"/>
      <w:r w:rsidRPr="00F043F9">
        <w:rPr>
          <w:rFonts w:ascii="Verdana" w:eastAsia="Times New Roman" w:hAnsi="Verdana" w:cs="Times New Roman"/>
          <w:color w:val="000000"/>
        </w:rPr>
        <w:t xml:space="preserve"> of alternatives to antimicrobials in the EU.</w:t>
      </w:r>
    </w:p>
    <w:p w14:paraId="66976EF2" w14:textId="77777777" w:rsidR="00F043F9" w:rsidRPr="00F043F9" w:rsidRDefault="00F043F9" w:rsidP="00F043F9">
      <w:pPr>
        <w:spacing w:before="100" w:beforeAutospacing="1" w:after="100" w:afterAutospacing="1"/>
        <w:rPr>
          <w:rFonts w:ascii="Verdana" w:eastAsia="Times New Roman" w:hAnsi="Verdana" w:cs="Times New Roman"/>
          <w:color w:val="000000"/>
        </w:rPr>
      </w:pPr>
      <w:r w:rsidRPr="00F043F9">
        <w:rPr>
          <w:rFonts w:ascii="Verdana" w:eastAsia="Times New Roman" w:hAnsi="Verdana" w:cs="Times New Roman"/>
          <w:b/>
          <w:bCs/>
          <w:i/>
          <w:iCs/>
          <w:color w:val="000000"/>
        </w:rPr>
        <w:lastRenderedPageBreak/>
        <w:t>Regulatory</w:t>
      </w:r>
    </w:p>
    <w:p w14:paraId="5A881853" w14:textId="77777777" w:rsidR="00F043F9" w:rsidRPr="00F043F9" w:rsidRDefault="00F043F9" w:rsidP="00F043F9">
      <w:pPr>
        <w:spacing w:before="100" w:beforeAutospacing="1" w:after="100" w:afterAutospacing="1"/>
        <w:rPr>
          <w:rFonts w:ascii="Verdana" w:eastAsia="Times New Roman" w:hAnsi="Verdana" w:cs="Times New Roman"/>
          <w:color w:val="000000"/>
        </w:rPr>
      </w:pPr>
      <w:r w:rsidRPr="00F043F9">
        <w:rPr>
          <w:rFonts w:ascii="Verdana" w:eastAsia="Times New Roman" w:hAnsi="Verdana" w:cs="Times New Roman"/>
          <w:color w:val="000000"/>
        </w:rPr>
        <w:t>Further to a request of the European Commission, the Committee adopted one report in relation to implementing and delegated acts to Regulation 2019/6 concerning the criteria to designate antimicrobials for human use.</w:t>
      </w:r>
    </w:p>
    <w:p w14:paraId="3219FCE6" w14:textId="77777777" w:rsidR="00F043F9" w:rsidRPr="00F043F9" w:rsidRDefault="00F043F9" w:rsidP="00F043F9">
      <w:pPr>
        <w:spacing w:before="100" w:beforeAutospacing="1" w:after="100" w:afterAutospacing="1"/>
        <w:rPr>
          <w:rFonts w:ascii="Verdana" w:eastAsia="Times New Roman" w:hAnsi="Verdana" w:cs="Times New Roman"/>
          <w:color w:val="000000"/>
        </w:rPr>
      </w:pPr>
      <w:r w:rsidRPr="00F043F9">
        <w:rPr>
          <w:rFonts w:ascii="Verdana" w:eastAsia="Times New Roman" w:hAnsi="Verdana" w:cs="Times New Roman"/>
          <w:color w:val="000000"/>
        </w:rPr>
        <w:t>The document will be sent to the European Commission and published on the Agency’s website in due course.</w:t>
      </w:r>
    </w:p>
    <w:p w14:paraId="2A07C7BE" w14:textId="77777777" w:rsidR="00F043F9" w:rsidRPr="00F043F9" w:rsidRDefault="00F043F9" w:rsidP="00F043F9">
      <w:pPr>
        <w:spacing w:before="100" w:beforeAutospacing="1" w:after="100" w:afterAutospacing="1"/>
        <w:outlineLvl w:val="3"/>
        <w:rPr>
          <w:rFonts w:ascii="Verdana" w:eastAsia="Times New Roman" w:hAnsi="Verdana" w:cs="Times New Roman"/>
          <w:b/>
          <w:bCs/>
          <w:color w:val="404040"/>
        </w:rPr>
      </w:pPr>
      <w:r w:rsidRPr="00F043F9">
        <w:rPr>
          <w:rFonts w:ascii="Verdana" w:eastAsia="Times New Roman" w:hAnsi="Verdana" w:cs="Times New Roman"/>
          <w:b/>
          <w:bCs/>
          <w:color w:val="404040"/>
        </w:rPr>
        <w:t>Procedural Announcement</w:t>
      </w:r>
    </w:p>
    <w:p w14:paraId="078682BE" w14:textId="77777777" w:rsidR="00F043F9" w:rsidRPr="00F043F9" w:rsidRDefault="00F043F9" w:rsidP="00F043F9">
      <w:pPr>
        <w:spacing w:beforeAutospacing="1" w:afterAutospacing="1"/>
        <w:rPr>
          <w:rFonts w:ascii="Verdana" w:eastAsia="Times New Roman" w:hAnsi="Verdana" w:cs="Times New Roman"/>
          <w:color w:val="000000"/>
        </w:rPr>
      </w:pPr>
      <w:r w:rsidRPr="00F043F9">
        <w:rPr>
          <w:rFonts w:ascii="Verdana" w:eastAsia="Times New Roman" w:hAnsi="Verdana" w:cs="Times New Roman"/>
          <w:color w:val="000000"/>
        </w:rPr>
        <w:t>Validation checklists for initial </w:t>
      </w:r>
      <w:hyperlink r:id="rId36" w:tgtFrame="_blank" w:tooltip="An application made to a European regulatory authority for approval to market a medicine within the European Union." w:history="1">
        <w:r w:rsidRPr="00F043F9">
          <w:rPr>
            <w:rFonts w:ascii="Verdana" w:eastAsia="Times New Roman" w:hAnsi="Verdana" w:cs="Times New Roman"/>
            <w:color w:val="000000"/>
            <w:u w:val="single"/>
          </w:rPr>
          <w:t xml:space="preserve">marketing </w:t>
        </w:r>
        <w:proofErr w:type="spellStart"/>
        <w:r w:rsidRPr="00F043F9">
          <w:rPr>
            <w:rFonts w:ascii="Verdana" w:eastAsia="Times New Roman" w:hAnsi="Verdana" w:cs="Times New Roman"/>
            <w:color w:val="000000"/>
            <w:u w:val="single"/>
          </w:rPr>
          <w:t>authorisation</w:t>
        </w:r>
        <w:proofErr w:type="spellEnd"/>
        <w:r w:rsidRPr="00F043F9">
          <w:rPr>
            <w:rFonts w:ascii="Verdana" w:eastAsia="Times New Roman" w:hAnsi="Verdana" w:cs="Times New Roman"/>
            <w:color w:val="000000"/>
            <w:u w:val="single"/>
          </w:rPr>
          <w:t xml:space="preserve"> applications</w:t>
        </w:r>
      </w:hyperlink>
      <w:r w:rsidRPr="00F043F9">
        <w:rPr>
          <w:rFonts w:ascii="Verdana" w:eastAsia="Times New Roman" w:hAnsi="Verdana" w:cs="Times New Roman"/>
          <w:color w:val="000000"/>
        </w:rPr>
        <w:t> for veterinary pharmaceutical and immunological products will be updated within the next few days on the </w:t>
      </w:r>
      <w:hyperlink r:id="rId37" w:history="1">
        <w:r w:rsidRPr="00F043F9">
          <w:rPr>
            <w:rFonts w:ascii="Verdana" w:eastAsia="Times New Roman" w:hAnsi="Verdana" w:cs="Times New Roman"/>
            <w:color w:val="75197C"/>
            <w:u w:val="single"/>
          </w:rPr>
          <w:t>EMA website</w:t>
        </w:r>
      </w:hyperlink>
      <w:r w:rsidRPr="00F043F9">
        <w:rPr>
          <w:rFonts w:ascii="Verdana" w:eastAsia="Times New Roman" w:hAnsi="Verdana" w:cs="Times New Roman"/>
          <w:color w:val="000000"/>
        </w:rPr>
        <w:t>. These checklists are used by the Agency to validate initial </w:t>
      </w:r>
      <w:hyperlink r:id="rId38" w:tgtFrame="_blank" w:tooltip="An application made to a European regulatory authority for approval to market a medicine within the European Union." w:history="1">
        <w:r w:rsidRPr="00F043F9">
          <w:rPr>
            <w:rFonts w:ascii="Verdana" w:eastAsia="Times New Roman" w:hAnsi="Verdana" w:cs="Times New Roman"/>
            <w:color w:val="000000"/>
            <w:u w:val="single"/>
          </w:rPr>
          <w:t xml:space="preserve">marketing </w:t>
        </w:r>
        <w:proofErr w:type="spellStart"/>
        <w:r w:rsidRPr="00F043F9">
          <w:rPr>
            <w:rFonts w:ascii="Verdana" w:eastAsia="Times New Roman" w:hAnsi="Verdana" w:cs="Times New Roman"/>
            <w:color w:val="000000"/>
            <w:u w:val="single"/>
          </w:rPr>
          <w:t>authorisation</w:t>
        </w:r>
        <w:proofErr w:type="spellEnd"/>
        <w:r w:rsidRPr="00F043F9">
          <w:rPr>
            <w:rFonts w:ascii="Verdana" w:eastAsia="Times New Roman" w:hAnsi="Verdana" w:cs="Times New Roman"/>
            <w:color w:val="000000"/>
            <w:u w:val="single"/>
          </w:rPr>
          <w:t xml:space="preserve"> applications</w:t>
        </w:r>
      </w:hyperlink>
      <w:r w:rsidRPr="00F043F9">
        <w:rPr>
          <w:rFonts w:ascii="Verdana" w:eastAsia="Times New Roman" w:hAnsi="Verdana" w:cs="Times New Roman"/>
          <w:color w:val="000000"/>
        </w:rPr>
        <w:t xml:space="preserve"> for pharmaceuticals and </w:t>
      </w:r>
      <w:proofErr w:type="spellStart"/>
      <w:r w:rsidRPr="00F043F9">
        <w:rPr>
          <w:rFonts w:ascii="Verdana" w:eastAsia="Times New Roman" w:hAnsi="Verdana" w:cs="Times New Roman"/>
          <w:color w:val="000000"/>
        </w:rPr>
        <w:t>immunologicals</w:t>
      </w:r>
      <w:proofErr w:type="spellEnd"/>
      <w:r w:rsidRPr="00F043F9">
        <w:rPr>
          <w:rFonts w:ascii="Verdana" w:eastAsia="Times New Roman" w:hAnsi="Verdana" w:cs="Times New Roman"/>
          <w:color w:val="000000"/>
        </w:rPr>
        <w:t xml:space="preserve"> and applicants should use them as a means to review in advance of their submission that standard requirements are fulfilled.</w:t>
      </w:r>
    </w:p>
    <w:p w14:paraId="4E5267C6" w14:textId="77777777" w:rsidR="00F043F9" w:rsidRPr="00F043F9" w:rsidRDefault="00F043F9" w:rsidP="00F043F9">
      <w:pPr>
        <w:spacing w:beforeAutospacing="1" w:afterAutospacing="1"/>
        <w:rPr>
          <w:rFonts w:ascii="Verdana" w:eastAsia="Times New Roman" w:hAnsi="Verdana" w:cs="Times New Roman"/>
          <w:color w:val="000000"/>
        </w:rPr>
      </w:pPr>
      <w:r w:rsidRPr="00F043F9">
        <w:rPr>
          <w:rFonts w:ascii="Verdana" w:eastAsia="Times New Roman" w:hAnsi="Verdana" w:cs="Times New Roman"/>
          <w:color w:val="000000"/>
        </w:rPr>
        <w:t>MAHs are encouraged to avoid submitting Type I </w:t>
      </w:r>
      <w:hyperlink r:id="rId39" w:tgtFrame="_blank" w:tooltip="A change to the terms of a marketing authorisation. &#13; &#13; More information can be found under 'Variations'." w:history="1">
        <w:r w:rsidRPr="00F043F9">
          <w:rPr>
            <w:rFonts w:ascii="Verdana" w:eastAsia="Times New Roman" w:hAnsi="Verdana" w:cs="Times New Roman"/>
            <w:color w:val="000000"/>
            <w:u w:val="single"/>
          </w:rPr>
          <w:t>variations</w:t>
        </w:r>
      </w:hyperlink>
      <w:r w:rsidRPr="00F043F9">
        <w:rPr>
          <w:rFonts w:ascii="Verdana" w:eastAsia="Times New Roman" w:hAnsi="Verdana" w:cs="Times New Roman"/>
          <w:color w:val="000000"/>
        </w:rPr>
        <w:t> shortly before or during the Agency holiday periods (e.g. Christmas). This is in line with the information published in the Agency’s post-</w:t>
      </w:r>
      <w:proofErr w:type="spellStart"/>
      <w:r w:rsidRPr="00F043F9">
        <w:rPr>
          <w:rFonts w:ascii="Verdana" w:eastAsia="Times New Roman" w:hAnsi="Verdana" w:cs="Times New Roman"/>
          <w:color w:val="000000"/>
        </w:rPr>
        <w:t>authorisation</w:t>
      </w:r>
      <w:proofErr w:type="spellEnd"/>
      <w:r w:rsidRPr="00F043F9">
        <w:rPr>
          <w:rFonts w:ascii="Verdana" w:eastAsia="Times New Roman" w:hAnsi="Verdana" w:cs="Times New Roman"/>
          <w:color w:val="000000"/>
        </w:rPr>
        <w:t xml:space="preserve"> Q&amp;A’s for </w:t>
      </w:r>
      <w:hyperlink r:id="rId40" w:history="1">
        <w:r w:rsidRPr="00F043F9">
          <w:rPr>
            <w:rFonts w:ascii="Verdana" w:eastAsia="Times New Roman" w:hAnsi="Verdana" w:cs="Times New Roman"/>
            <w:color w:val="75197C"/>
            <w:u w:val="single"/>
          </w:rPr>
          <w:t>type IA</w:t>
        </w:r>
      </w:hyperlink>
      <w:r w:rsidRPr="00F043F9">
        <w:rPr>
          <w:rFonts w:ascii="Verdana" w:eastAsia="Times New Roman" w:hAnsi="Verdana" w:cs="Times New Roman"/>
          <w:color w:val="000000"/>
        </w:rPr>
        <w:t> and </w:t>
      </w:r>
      <w:hyperlink r:id="rId41" w:history="1">
        <w:r w:rsidRPr="00F043F9">
          <w:rPr>
            <w:rFonts w:ascii="Verdana" w:eastAsia="Times New Roman" w:hAnsi="Verdana" w:cs="Times New Roman"/>
            <w:color w:val="75197C"/>
            <w:u w:val="single"/>
          </w:rPr>
          <w:t>type IB</w:t>
        </w:r>
      </w:hyperlink>
      <w:r w:rsidRPr="00F043F9">
        <w:rPr>
          <w:rFonts w:ascii="Verdana" w:eastAsia="Times New Roman" w:hAnsi="Verdana" w:cs="Times New Roman"/>
          <w:color w:val="000000"/>
        </w:rPr>
        <w:t> procedures.</w:t>
      </w:r>
    </w:p>
    <w:p w14:paraId="6A3018E5"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87D11"/>
    <w:multiLevelType w:val="multilevel"/>
    <w:tmpl w:val="99DE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7B5F38"/>
    <w:multiLevelType w:val="multilevel"/>
    <w:tmpl w:val="4F14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0C"/>
    <w:rsid w:val="002F290C"/>
    <w:rsid w:val="00453EED"/>
    <w:rsid w:val="00963126"/>
    <w:rsid w:val="00BE080D"/>
    <w:rsid w:val="00F04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0C746"/>
  <w14:defaultImageDpi w14:val="32767"/>
  <w15:chartTrackingRefBased/>
  <w15:docId w15:val="{4F805DED-EB78-4441-B212-C0CA030A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43F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F043F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3F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043F9"/>
    <w:rPr>
      <w:rFonts w:ascii="Times New Roman" w:eastAsia="Times New Roman" w:hAnsi="Times New Roman" w:cs="Times New Roman"/>
      <w:b/>
      <w:bCs/>
    </w:rPr>
  </w:style>
  <w:style w:type="character" w:customStyle="1" w:styleId="apple-converted-space">
    <w:name w:val="apple-converted-space"/>
    <w:basedOn w:val="DefaultParagraphFont"/>
    <w:rsid w:val="00F043F9"/>
  </w:style>
  <w:style w:type="character" w:customStyle="1" w:styleId="date-display-single">
    <w:name w:val="date-display-single"/>
    <w:basedOn w:val="DefaultParagraphFont"/>
    <w:rsid w:val="00F043F9"/>
  </w:style>
  <w:style w:type="paragraph" w:styleId="NormalWeb">
    <w:name w:val="Normal (Web)"/>
    <w:basedOn w:val="Normal"/>
    <w:uiPriority w:val="99"/>
    <w:semiHidden/>
    <w:unhideWhenUsed/>
    <w:rsid w:val="00F043F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043F9"/>
    <w:rPr>
      <w:color w:val="0000FF"/>
      <w:u w:val="single"/>
    </w:rPr>
  </w:style>
  <w:style w:type="character" w:styleId="Strong">
    <w:name w:val="Strong"/>
    <w:basedOn w:val="DefaultParagraphFont"/>
    <w:uiPriority w:val="22"/>
    <w:qFormat/>
    <w:rsid w:val="00F043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003877">
      <w:bodyDiv w:val="1"/>
      <w:marLeft w:val="0"/>
      <w:marRight w:val="0"/>
      <w:marTop w:val="0"/>
      <w:marBottom w:val="0"/>
      <w:divBdr>
        <w:top w:val="none" w:sz="0" w:space="0" w:color="auto"/>
        <w:left w:val="none" w:sz="0" w:space="0" w:color="auto"/>
        <w:bottom w:val="none" w:sz="0" w:space="0" w:color="auto"/>
        <w:right w:val="none" w:sz="0" w:space="0" w:color="auto"/>
      </w:divBdr>
      <w:divsChild>
        <w:div w:id="264506233">
          <w:marLeft w:val="0"/>
          <w:marRight w:val="0"/>
          <w:marTop w:val="0"/>
          <w:marBottom w:val="0"/>
          <w:divBdr>
            <w:top w:val="none" w:sz="0" w:space="0" w:color="auto"/>
            <w:left w:val="none" w:sz="0" w:space="0" w:color="auto"/>
            <w:bottom w:val="none" w:sz="0" w:space="0" w:color="auto"/>
            <w:right w:val="none" w:sz="0" w:space="0" w:color="auto"/>
          </w:divBdr>
          <w:divsChild>
            <w:div w:id="919212978">
              <w:marLeft w:val="0"/>
              <w:marRight w:val="0"/>
              <w:marTop w:val="0"/>
              <w:marBottom w:val="0"/>
              <w:divBdr>
                <w:top w:val="none" w:sz="0" w:space="0" w:color="auto"/>
                <w:left w:val="none" w:sz="0" w:space="0" w:color="auto"/>
                <w:bottom w:val="none" w:sz="0" w:space="0" w:color="auto"/>
                <w:right w:val="none" w:sz="0" w:space="0" w:color="auto"/>
              </w:divBdr>
            </w:div>
          </w:divsChild>
        </w:div>
        <w:div w:id="887182309">
          <w:marLeft w:val="0"/>
          <w:marRight w:val="0"/>
          <w:marTop w:val="0"/>
          <w:marBottom w:val="0"/>
          <w:divBdr>
            <w:top w:val="none" w:sz="0" w:space="0" w:color="auto"/>
            <w:left w:val="none" w:sz="0" w:space="0" w:color="auto"/>
            <w:bottom w:val="none" w:sz="0" w:space="0" w:color="auto"/>
            <w:right w:val="none" w:sz="0" w:space="0" w:color="auto"/>
          </w:divBdr>
        </w:div>
        <w:div w:id="210962136">
          <w:marLeft w:val="0"/>
          <w:marRight w:val="0"/>
          <w:marTop w:val="0"/>
          <w:marBottom w:val="0"/>
          <w:divBdr>
            <w:top w:val="none" w:sz="0" w:space="0" w:color="auto"/>
            <w:left w:val="none" w:sz="0" w:space="0" w:color="auto"/>
            <w:bottom w:val="none" w:sz="0" w:space="0" w:color="auto"/>
            <w:right w:val="none" w:sz="0" w:space="0" w:color="auto"/>
          </w:divBdr>
          <w:divsChild>
            <w:div w:id="1189685892">
              <w:marLeft w:val="0"/>
              <w:marRight w:val="0"/>
              <w:marTop w:val="0"/>
              <w:marBottom w:val="0"/>
              <w:divBdr>
                <w:top w:val="none" w:sz="0" w:space="0" w:color="auto"/>
                <w:left w:val="none" w:sz="0" w:space="0" w:color="auto"/>
                <w:bottom w:val="none" w:sz="0" w:space="0" w:color="auto"/>
                <w:right w:val="none" w:sz="0" w:space="0" w:color="auto"/>
              </w:divBdr>
              <w:divsChild>
                <w:div w:id="2092047227">
                  <w:marLeft w:val="0"/>
                  <w:marRight w:val="0"/>
                  <w:marTop w:val="0"/>
                  <w:marBottom w:val="0"/>
                  <w:divBdr>
                    <w:top w:val="none" w:sz="0" w:space="0" w:color="auto"/>
                    <w:left w:val="none" w:sz="0" w:space="0" w:color="auto"/>
                    <w:bottom w:val="none" w:sz="0" w:space="0" w:color="auto"/>
                    <w:right w:val="none" w:sz="0" w:space="0" w:color="auto"/>
                  </w:divBdr>
                  <w:divsChild>
                    <w:div w:id="1168128791">
                      <w:marLeft w:val="0"/>
                      <w:marRight w:val="0"/>
                      <w:marTop w:val="0"/>
                      <w:marBottom w:val="0"/>
                      <w:divBdr>
                        <w:top w:val="none" w:sz="0" w:space="0" w:color="auto"/>
                        <w:left w:val="none" w:sz="0" w:space="0" w:color="auto"/>
                        <w:bottom w:val="none" w:sz="0" w:space="0" w:color="auto"/>
                        <w:right w:val="none" w:sz="0" w:space="0" w:color="auto"/>
                      </w:divBdr>
                      <w:divsChild>
                        <w:div w:id="1417090758">
                          <w:marLeft w:val="0"/>
                          <w:marRight w:val="0"/>
                          <w:marTop w:val="0"/>
                          <w:marBottom w:val="0"/>
                          <w:divBdr>
                            <w:top w:val="none" w:sz="0" w:space="0" w:color="auto"/>
                            <w:left w:val="none" w:sz="0" w:space="0" w:color="auto"/>
                            <w:bottom w:val="none" w:sz="0" w:space="0" w:color="auto"/>
                            <w:right w:val="none" w:sz="0" w:space="0" w:color="auto"/>
                          </w:divBdr>
                          <w:divsChild>
                            <w:div w:id="316307837">
                              <w:marLeft w:val="0"/>
                              <w:marRight w:val="0"/>
                              <w:marTop w:val="0"/>
                              <w:marBottom w:val="0"/>
                              <w:divBdr>
                                <w:top w:val="none" w:sz="0" w:space="0" w:color="auto"/>
                                <w:left w:val="none" w:sz="0" w:space="0" w:color="auto"/>
                                <w:bottom w:val="none" w:sz="0" w:space="0" w:color="auto"/>
                                <w:right w:val="none" w:sz="0" w:space="0" w:color="auto"/>
                              </w:divBdr>
                              <w:divsChild>
                                <w:div w:id="1411584549">
                                  <w:marLeft w:val="0"/>
                                  <w:marRight w:val="0"/>
                                  <w:marTop w:val="0"/>
                                  <w:marBottom w:val="0"/>
                                  <w:divBdr>
                                    <w:top w:val="none" w:sz="0" w:space="0" w:color="auto"/>
                                    <w:left w:val="none" w:sz="0" w:space="0" w:color="auto"/>
                                    <w:bottom w:val="none" w:sz="0" w:space="0" w:color="auto"/>
                                    <w:right w:val="none" w:sz="0" w:space="0" w:color="auto"/>
                                  </w:divBdr>
                                  <w:divsChild>
                                    <w:div w:id="127883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ma.europa.eu/en/glossary/withdrawal-period" TargetMode="External"/><Relationship Id="rId18" Type="http://schemas.openxmlformats.org/officeDocument/2006/relationships/hyperlink" Target="https://www.ema.europa.eu/en/glossary/cvmp" TargetMode="External"/><Relationship Id="rId26" Type="http://schemas.openxmlformats.org/officeDocument/2006/relationships/hyperlink" Target="https://www.ema.europa.eu/en/glossary/medicinal-product" TargetMode="External"/><Relationship Id="rId39" Type="http://schemas.openxmlformats.org/officeDocument/2006/relationships/hyperlink" Target="https://www.ema.europa.eu/en/glossary/variation" TargetMode="External"/><Relationship Id="rId21" Type="http://schemas.openxmlformats.org/officeDocument/2006/relationships/hyperlink" Target="https://www.ema.europa.eu/en/glossary/medicinal-product" TargetMode="External"/><Relationship Id="rId34" Type="http://schemas.openxmlformats.org/officeDocument/2006/relationships/hyperlink" Target="https://www.ema.europa.eu/en/glossary/cvmp" TargetMode="External"/><Relationship Id="rId42" Type="http://schemas.openxmlformats.org/officeDocument/2006/relationships/fontTable" Target="fontTable.xml"/><Relationship Id="rId7" Type="http://schemas.openxmlformats.org/officeDocument/2006/relationships/hyperlink" Target="https://www.ema.europa.eu/en/glossary/cat" TargetMode="External"/><Relationship Id="rId2" Type="http://schemas.openxmlformats.org/officeDocument/2006/relationships/styles" Target="styles.xml"/><Relationship Id="rId16" Type="http://schemas.openxmlformats.org/officeDocument/2006/relationships/hyperlink" Target="https://www.ema.europa.eu/en/glossary/excipient" TargetMode="External"/><Relationship Id="rId20" Type="http://schemas.openxmlformats.org/officeDocument/2006/relationships/hyperlink" Target="https://www.ema.europa.eu/en/glossary/efficacy" TargetMode="External"/><Relationship Id="rId29" Type="http://schemas.openxmlformats.org/officeDocument/2006/relationships/hyperlink" Target="https://www.ema.europa.eu/en/glossary/product-information" TargetMode="External"/><Relationship Id="rId41" Type="http://schemas.openxmlformats.org/officeDocument/2006/relationships/hyperlink" Target="https://www.ema.europa.eu/en/veterinary-regulatory/post-authorisation/variations/type-ib-variations-questions-answers" TargetMode="External"/><Relationship Id="rId1" Type="http://schemas.openxmlformats.org/officeDocument/2006/relationships/numbering" Target="numbering.xml"/><Relationship Id="rId6" Type="http://schemas.openxmlformats.org/officeDocument/2006/relationships/hyperlink" Target="https://www.ema.europa.eu/en/glossary/marketing-authorisation-application" TargetMode="External"/><Relationship Id="rId11" Type="http://schemas.openxmlformats.org/officeDocument/2006/relationships/hyperlink" Target="https://www.ema.europa.eu/en/glossary/indication" TargetMode="External"/><Relationship Id="rId24" Type="http://schemas.openxmlformats.org/officeDocument/2006/relationships/hyperlink" Target="https://www.ema.europa.eu/en/glossary/medicinal-product" TargetMode="External"/><Relationship Id="rId32" Type="http://schemas.openxmlformats.org/officeDocument/2006/relationships/hyperlink" Target="https://www.ema.europa.eu/en/glossary/cvmp" TargetMode="External"/><Relationship Id="rId37" Type="http://schemas.openxmlformats.org/officeDocument/2006/relationships/hyperlink" Target="https://www.ema.europa.eu/en/veterinary-regulatory/marketing-authorisation/application-guidance" TargetMode="External"/><Relationship Id="rId40" Type="http://schemas.openxmlformats.org/officeDocument/2006/relationships/hyperlink" Target="https://www.ema.europa.eu/en/veterinary-regulatory/post-authorisation/variations/type-ia-variations-questions-answers" TargetMode="External"/><Relationship Id="rId5" Type="http://schemas.openxmlformats.org/officeDocument/2006/relationships/hyperlink" Target="https://www.ema.europa.eu/en/glossary/marketing-authorisation-application" TargetMode="External"/><Relationship Id="rId15" Type="http://schemas.openxmlformats.org/officeDocument/2006/relationships/hyperlink" Target="https://www.ema.europa.eu/en/glossary/maximum-residue-limit" TargetMode="External"/><Relationship Id="rId23" Type="http://schemas.openxmlformats.org/officeDocument/2006/relationships/hyperlink" Target="https://www.ema.europa.eu/en/glossary/cvmp" TargetMode="External"/><Relationship Id="rId28" Type="http://schemas.openxmlformats.org/officeDocument/2006/relationships/hyperlink" Target="https://www.ema.europa.eu/en/glossary/cvmp" TargetMode="External"/><Relationship Id="rId36" Type="http://schemas.openxmlformats.org/officeDocument/2006/relationships/hyperlink" Target="https://www.ema.europa.eu/en/glossary/marketing-authorisation-application" TargetMode="External"/><Relationship Id="rId10" Type="http://schemas.openxmlformats.org/officeDocument/2006/relationships/hyperlink" Target="https://www.ema.europa.eu/en/glossary/pharmacovigilance" TargetMode="External"/><Relationship Id="rId19" Type="http://schemas.openxmlformats.org/officeDocument/2006/relationships/hyperlink" Target="https://www.ema.europa.eu/en/glossary/scientific-advice" TargetMode="External"/><Relationship Id="rId31" Type="http://schemas.openxmlformats.org/officeDocument/2006/relationships/hyperlink" Target="https://www.ema.europa.eu/en/glossary/list-questions" TargetMode="External"/><Relationship Id="rId4" Type="http://schemas.openxmlformats.org/officeDocument/2006/relationships/webSettings" Target="webSettings.xml"/><Relationship Id="rId9" Type="http://schemas.openxmlformats.org/officeDocument/2006/relationships/hyperlink" Target="https://www.ema.europa.eu/en/glossary/type-ib-variation" TargetMode="External"/><Relationship Id="rId14" Type="http://schemas.openxmlformats.org/officeDocument/2006/relationships/hyperlink" Target="https://www.ema.europa.eu/en/glossary/medicinal-product" TargetMode="External"/><Relationship Id="rId22" Type="http://schemas.openxmlformats.org/officeDocument/2006/relationships/hyperlink" Target="https://www.ema.europa.eu/en/glossary/medicinal-product" TargetMode="External"/><Relationship Id="rId27" Type="http://schemas.openxmlformats.org/officeDocument/2006/relationships/hyperlink" Target="https://www.ema.europa.eu/en/glossary/cvmp" TargetMode="External"/><Relationship Id="rId30" Type="http://schemas.openxmlformats.org/officeDocument/2006/relationships/hyperlink" Target="https://www.ema.europa.eu/en/glossary/cvmp" TargetMode="External"/><Relationship Id="rId35" Type="http://schemas.openxmlformats.org/officeDocument/2006/relationships/hyperlink" Target="https://www.ema.europa.eu/en/glossary/reflection-paper" TargetMode="External"/><Relationship Id="rId43" Type="http://schemas.openxmlformats.org/officeDocument/2006/relationships/theme" Target="theme/theme1.xml"/><Relationship Id="rId8" Type="http://schemas.openxmlformats.org/officeDocument/2006/relationships/hyperlink" Target="https://www.ema.europa.eu/en/glossary/type-ii-variation" TargetMode="External"/><Relationship Id="rId3" Type="http://schemas.openxmlformats.org/officeDocument/2006/relationships/settings" Target="settings.xml"/><Relationship Id="rId12" Type="http://schemas.openxmlformats.org/officeDocument/2006/relationships/hyperlink" Target="https://www.ema.europa.eu/en/glossary/referral" TargetMode="External"/><Relationship Id="rId17" Type="http://schemas.openxmlformats.org/officeDocument/2006/relationships/hyperlink" Target="https://www.ema.europa.eu/en/glossary/cvmp" TargetMode="External"/><Relationship Id="rId25" Type="http://schemas.openxmlformats.org/officeDocument/2006/relationships/hyperlink" Target="https://www.ema.europa.eu/en/glossary/cvmp" TargetMode="External"/><Relationship Id="rId33" Type="http://schemas.openxmlformats.org/officeDocument/2006/relationships/hyperlink" Target="https://www.ema.europa.eu/en/glossary/reflection-paper" TargetMode="External"/><Relationship Id="rId38" Type="http://schemas.openxmlformats.org/officeDocument/2006/relationships/hyperlink" Target="https://www.ema.europa.eu/en/glossary/marketing-authorisation-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2727</Words>
  <Characters>15547</Characters>
  <Application>Microsoft Office Word</Application>
  <DocSecurity>0</DocSecurity>
  <Lines>129</Lines>
  <Paragraphs>36</Paragraphs>
  <ScaleCrop>false</ScaleCrop>
  <Company/>
  <LinksUpToDate>false</LinksUpToDate>
  <CharactersWithSpaces>18238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2020-02-18T10:46:00Z</dcterms:created>
  <dcterms:modified xsi:type="dcterms:W3CDTF">2020-03-15T14:23:00Z</dcterms:modified>
</cp:coreProperties>
</file>