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E915" w14:textId="77777777" w:rsidR="008B3388" w:rsidRPr="008B3388" w:rsidRDefault="008B3388" w:rsidP="008B3388">
      <w:pPr>
        <w:outlineLvl w:val="0"/>
        <w:rPr>
          <w:rFonts w:ascii="Verdana" w:eastAsia="Times New Roman" w:hAnsi="Verdana" w:cs="Times New Roman"/>
          <w:color w:val="000000"/>
          <w:kern w:val="36"/>
          <w:sz w:val="48"/>
          <w:szCs w:val="48"/>
        </w:rPr>
      </w:pPr>
      <w:r w:rsidRPr="008B3388">
        <w:rPr>
          <w:rFonts w:ascii="Verdana" w:eastAsia="Times New Roman" w:hAnsi="Verdana" w:cs="Times New Roman"/>
          <w:color w:val="000000"/>
          <w:kern w:val="36"/>
          <w:sz w:val="48"/>
          <w:szCs w:val="48"/>
        </w:rPr>
        <w:t>Meeting highlights from the Committee for Medicinal Products for Human Use (CHMP) 9-12 December 2019</w:t>
      </w:r>
    </w:p>
    <w:p w14:paraId="70FC8824" w14:textId="77777777" w:rsidR="008B3388" w:rsidRPr="008B3388" w:rsidRDefault="008B3388" w:rsidP="008B3388">
      <w:pPr>
        <w:rPr>
          <w:rFonts w:ascii="Times New Roman" w:eastAsia="Times New Roman" w:hAnsi="Times New Roman" w:cs="Times New Roman"/>
        </w:rPr>
      </w:pPr>
      <w:r w:rsidRPr="008B3388">
        <w:rPr>
          <w:rFonts w:ascii="Verdana" w:eastAsia="Times New Roman" w:hAnsi="Verdana" w:cs="Times New Roman"/>
          <w:color w:val="000000"/>
        </w:rPr>
        <w:t> </w:t>
      </w:r>
    </w:p>
    <w:p w14:paraId="22FFD227" w14:textId="77777777" w:rsidR="008B3388" w:rsidRPr="008B3388" w:rsidRDefault="008B3388" w:rsidP="008B3388">
      <w:pPr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Share</w:t>
      </w:r>
    </w:p>
    <w:p w14:paraId="4B2DEC6C" w14:textId="77777777" w:rsidR="008B3388" w:rsidRPr="008B3388" w:rsidRDefault="008B3388" w:rsidP="008B3388">
      <w:pPr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News 13/12/2019</w:t>
      </w:r>
    </w:p>
    <w:p w14:paraId="3BD3C54C" w14:textId="77777777" w:rsidR="008B3388" w:rsidRPr="008B3388" w:rsidRDefault="008B3388" w:rsidP="008B338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404040"/>
        </w:rPr>
      </w:pPr>
      <w:r w:rsidRPr="008B3388">
        <w:rPr>
          <w:rFonts w:ascii="Verdana" w:eastAsia="Times New Roman" w:hAnsi="Verdana" w:cs="Times New Roman"/>
          <w:b/>
          <w:bCs/>
          <w:color w:val="404040"/>
        </w:rPr>
        <w:t>Five new medicines recommended for approval</w:t>
      </w:r>
    </w:p>
    <w:p w14:paraId="4644DB30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EMA’s human medicines committee (</w:t>
      </w:r>
      <w:hyperlink r:id="rId4" w:tgtFrame="_blank" w:tooltip="Committee for Medicinal Products for Human Use -  the committee that is responsible for preparing the Agency's opinions on questions concerning human medicines. &#13; &#13; More information can be found under 'Committee for Medicinal Products for Human Use (CHMP)'.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>CHMP</w:t>
        </w:r>
      </w:hyperlink>
      <w:r w:rsidRPr="008B3388">
        <w:rPr>
          <w:rFonts w:ascii="Verdana" w:eastAsia="Times New Roman" w:hAnsi="Verdana" w:cs="Times New Roman"/>
          <w:color w:val="000000"/>
        </w:rPr>
        <w:t>) recommended five medicines for approval at its December 2019 meeting.</w:t>
      </w:r>
    </w:p>
    <w:p w14:paraId="5A998D76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The Committee recommended granting a </w:t>
      </w:r>
      <w:hyperlink r:id="rId5" w:tgtFrame="_blank" w:tooltip="The approval to market a medicine in one, several or all European Union Member States.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 xml:space="preserve">marketing </w:t>
        </w:r>
        <w:proofErr w:type="spellStart"/>
        <w:r w:rsidRPr="008B3388">
          <w:rPr>
            <w:rFonts w:ascii="Verdana" w:eastAsia="Times New Roman" w:hAnsi="Verdana" w:cs="Times New Roman"/>
            <w:color w:val="000000"/>
            <w:u w:val="single"/>
          </w:rPr>
          <w:t>authorisation</w:t>
        </w:r>
        <w:proofErr w:type="spellEnd"/>
      </w:hyperlink>
      <w:r w:rsidRPr="008B3388">
        <w:rPr>
          <w:rFonts w:ascii="Verdana" w:eastAsia="Times New Roman" w:hAnsi="Verdana" w:cs="Times New Roman"/>
          <w:color w:val="000000"/>
        </w:rPr>
        <w:t> for </w:t>
      </w:r>
      <w:proofErr w:type="spellStart"/>
      <w:r w:rsidRPr="008B3388">
        <w:rPr>
          <w:rFonts w:ascii="Verdana" w:eastAsia="Times New Roman" w:hAnsi="Verdana" w:cs="Times New Roman"/>
          <w:b/>
          <w:bCs/>
          <w:color w:val="000000"/>
        </w:rPr>
        <w:t>Beovu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> (</w:t>
      </w:r>
      <w:proofErr w:type="spellStart"/>
      <w:r w:rsidRPr="008B3388">
        <w:rPr>
          <w:rFonts w:ascii="Verdana" w:eastAsia="Times New Roman" w:hAnsi="Verdana" w:cs="Times New Roman"/>
          <w:color w:val="000000"/>
        </w:rPr>
        <w:t>brolucizumab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>) for the treatment of neovascular (‘wet’) age-related macular degeneration, a disease that affects the central part of the retina at the back of the eye and causes loss of ‘straight-ahead’ vision.</w:t>
      </w:r>
    </w:p>
    <w:p w14:paraId="4FD4DD94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The </w:t>
      </w:r>
      <w:hyperlink r:id="rId6" w:tgtFrame="_blank" w:tooltip="Committee for Medicinal Products for Human Use -  the committee that is responsible for preparing the Agency's opinions on questions concerning human medicines. &#13; &#13; More information can be found under 'Committee for Medicinal Products for Human Use (CHMP)'.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>CHMP</w:t>
        </w:r>
      </w:hyperlink>
      <w:r w:rsidRPr="008B3388">
        <w:rPr>
          <w:rFonts w:ascii="Verdana" w:eastAsia="Times New Roman" w:hAnsi="Verdana" w:cs="Times New Roman"/>
          <w:color w:val="000000"/>
        </w:rPr>
        <w:t> adopted a positive opinion for </w:t>
      </w:r>
      <w:proofErr w:type="spellStart"/>
      <w:r w:rsidRPr="008B3388">
        <w:rPr>
          <w:rFonts w:ascii="Verdana" w:eastAsia="Times New Roman" w:hAnsi="Verdana" w:cs="Times New Roman"/>
          <w:b/>
          <w:bCs/>
          <w:color w:val="000000"/>
        </w:rPr>
        <w:t>Recarbrio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 xml:space="preserve"> (imipenem / </w:t>
      </w:r>
      <w:proofErr w:type="spellStart"/>
      <w:r w:rsidRPr="008B3388">
        <w:rPr>
          <w:rFonts w:ascii="Verdana" w:eastAsia="Times New Roman" w:hAnsi="Verdana" w:cs="Times New Roman"/>
          <w:color w:val="000000"/>
        </w:rPr>
        <w:t>cilastatin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 xml:space="preserve"> / </w:t>
      </w:r>
      <w:proofErr w:type="spellStart"/>
      <w:r w:rsidRPr="008B3388">
        <w:rPr>
          <w:rFonts w:ascii="Verdana" w:eastAsia="Times New Roman" w:hAnsi="Verdana" w:cs="Times New Roman"/>
          <w:color w:val="000000"/>
        </w:rPr>
        <w:t>relebactam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>), for the treatment of infections due to aerobic Gram-negative organisms in adults with limited treatment options.</w:t>
      </w:r>
    </w:p>
    <w:p w14:paraId="34455E51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The </w:t>
      </w:r>
      <w:hyperlink r:id="rId7" w:tgtFrame="_blank" w:tooltip="A medicine that is similar to a biological medicine that has already been authorised. More information can be found under 'Biosimilar medicines -  Overview'.    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>biosimilar medicine</w:t>
        </w:r>
      </w:hyperlink>
      <w:r w:rsidRPr="008B3388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8B3388">
        <w:rPr>
          <w:rFonts w:ascii="Verdana" w:eastAsia="Times New Roman" w:hAnsi="Verdana" w:cs="Times New Roman"/>
          <w:b/>
          <w:bCs/>
          <w:color w:val="000000"/>
        </w:rPr>
        <w:t>Amsparity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> (adalimumab) received a positive opinion for the treatment of certain inflammatory and autoimmune disorders.</w:t>
      </w:r>
    </w:p>
    <w:p w14:paraId="64402450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The </w:t>
      </w:r>
      <w:hyperlink r:id="rId8" w:tgtFrame="_blank" w:tooltip="Committee for Medicinal Products for Human Use -  the committee that is responsible for preparing the Agency's opinions on questions concerning human medicines. &#13; &#13; More information can be found under 'Committee for Medicinal Products for Human Use (CHMP)'.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>CHMP</w:t>
        </w:r>
      </w:hyperlink>
      <w:r w:rsidRPr="008B3388">
        <w:rPr>
          <w:rFonts w:ascii="Verdana" w:eastAsia="Times New Roman" w:hAnsi="Verdana" w:cs="Times New Roman"/>
          <w:color w:val="000000"/>
        </w:rPr>
        <w:t> recommended granting </w:t>
      </w:r>
      <w:hyperlink r:id="rId9" w:tgtFrame="_blank" w:tooltip="The approval to market a medicine in one, several or all European Union Member States.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 xml:space="preserve">marketing </w:t>
        </w:r>
        <w:proofErr w:type="spellStart"/>
        <w:r w:rsidRPr="008B3388">
          <w:rPr>
            <w:rFonts w:ascii="Verdana" w:eastAsia="Times New Roman" w:hAnsi="Verdana" w:cs="Times New Roman"/>
            <w:color w:val="000000"/>
            <w:u w:val="single"/>
          </w:rPr>
          <w:t>authorisations</w:t>
        </w:r>
        <w:proofErr w:type="spellEnd"/>
      </w:hyperlink>
      <w:r w:rsidRPr="008B3388">
        <w:rPr>
          <w:rFonts w:ascii="Verdana" w:eastAsia="Times New Roman" w:hAnsi="Verdana" w:cs="Times New Roman"/>
          <w:color w:val="000000"/>
        </w:rPr>
        <w:t> for two </w:t>
      </w:r>
      <w:hyperlink r:id="rId10" w:tgtFrame="_blank" w:tooltip="A generic medicine is a medicine that is developed to be the same as a medicine that has already been authorised. Its authorisation is based on efficacy and safety data from studies on the authorised medicine. A company can only market a generic medicine once the 10-year exclusivity period for the original medicine has expired. &#13; &#13; More information can be found under Generic and hybrid medicines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>generic medicines</w:t>
        </w:r>
      </w:hyperlink>
      <w:r w:rsidRPr="008B3388">
        <w:rPr>
          <w:rFonts w:ascii="Verdana" w:eastAsia="Times New Roman" w:hAnsi="Verdana" w:cs="Times New Roman"/>
          <w:color w:val="000000"/>
        </w:rPr>
        <w:t>: </w:t>
      </w:r>
      <w:proofErr w:type="spellStart"/>
      <w:r w:rsidRPr="008B3388">
        <w:rPr>
          <w:rFonts w:ascii="Verdana" w:eastAsia="Times New Roman" w:hAnsi="Verdana" w:cs="Times New Roman"/>
          <w:b/>
          <w:bCs/>
          <w:color w:val="000000"/>
        </w:rPr>
        <w:t>Azacitidine</w:t>
      </w:r>
      <w:proofErr w:type="spellEnd"/>
      <w:r w:rsidRPr="008B3388">
        <w:rPr>
          <w:rFonts w:ascii="Verdana" w:eastAsia="Times New Roman" w:hAnsi="Verdana" w:cs="Times New Roman"/>
          <w:b/>
          <w:bCs/>
          <w:color w:val="000000"/>
        </w:rPr>
        <w:t xml:space="preserve"> Accord</w:t>
      </w:r>
      <w:r w:rsidRPr="008B3388">
        <w:rPr>
          <w:rFonts w:ascii="Verdana" w:eastAsia="Times New Roman" w:hAnsi="Verdana" w:cs="Times New Roman"/>
          <w:color w:val="000000"/>
        </w:rPr>
        <w:t>(</w:t>
      </w:r>
      <w:proofErr w:type="spellStart"/>
      <w:r w:rsidRPr="008B3388">
        <w:rPr>
          <w:rFonts w:ascii="Verdana" w:eastAsia="Times New Roman" w:hAnsi="Verdana" w:cs="Times New Roman"/>
          <w:color w:val="000000"/>
        </w:rPr>
        <w:t>azacitidine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 xml:space="preserve">), for the treatment of myelodysplastic syndromes, chronic </w:t>
      </w:r>
      <w:proofErr w:type="spellStart"/>
      <w:r w:rsidRPr="008B3388">
        <w:rPr>
          <w:rFonts w:ascii="Verdana" w:eastAsia="Times New Roman" w:hAnsi="Verdana" w:cs="Times New Roman"/>
          <w:color w:val="000000"/>
        </w:rPr>
        <w:t>myelomonocytic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8B3388">
        <w:rPr>
          <w:rFonts w:ascii="Verdana" w:eastAsia="Times New Roman" w:hAnsi="Verdana" w:cs="Times New Roman"/>
          <w:color w:val="000000"/>
        </w:rPr>
        <w:t>leukaemia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 xml:space="preserve"> and acute myeloid </w:t>
      </w:r>
      <w:proofErr w:type="spellStart"/>
      <w:r w:rsidRPr="008B3388">
        <w:rPr>
          <w:rFonts w:ascii="Verdana" w:eastAsia="Times New Roman" w:hAnsi="Verdana" w:cs="Times New Roman"/>
          <w:color w:val="000000"/>
        </w:rPr>
        <w:t>leukaemia</w:t>
      </w:r>
      <w:proofErr w:type="spellEnd"/>
      <w:r w:rsidRPr="008B3388">
        <w:rPr>
          <w:rFonts w:ascii="Verdana" w:eastAsia="Times New Roman" w:hAnsi="Verdana" w:cs="Times New Roman"/>
          <w:color w:val="000000"/>
        </w:rPr>
        <w:t>, diseases in which the body produces large numbers of abnormal blood cells; and </w:t>
      </w:r>
      <w:r w:rsidRPr="008B3388">
        <w:rPr>
          <w:rFonts w:ascii="Verdana" w:eastAsia="Times New Roman" w:hAnsi="Verdana" w:cs="Times New Roman"/>
          <w:b/>
          <w:bCs/>
          <w:color w:val="000000"/>
        </w:rPr>
        <w:t>Dexmedetomidine Accord</w:t>
      </w:r>
      <w:r w:rsidRPr="008B3388">
        <w:rPr>
          <w:rFonts w:ascii="Verdana" w:eastAsia="Times New Roman" w:hAnsi="Verdana" w:cs="Times New Roman"/>
          <w:color w:val="000000"/>
        </w:rPr>
        <w:t> (dexmedetomidine), for the induction of light to moderate sedation of adults in an intensive care unit.</w:t>
      </w:r>
    </w:p>
    <w:p w14:paraId="0BBDF791" w14:textId="77777777" w:rsidR="008B3388" w:rsidRPr="008B3388" w:rsidRDefault="008B3388" w:rsidP="008B338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404040"/>
        </w:rPr>
      </w:pPr>
      <w:r w:rsidRPr="008B3388">
        <w:rPr>
          <w:rFonts w:ascii="Verdana" w:eastAsia="Times New Roman" w:hAnsi="Verdana" w:cs="Times New Roman"/>
          <w:b/>
          <w:bCs/>
          <w:color w:val="404040"/>
        </w:rPr>
        <w:t>Eight recommendations on extensions of therapeutic indication</w:t>
      </w:r>
    </w:p>
    <w:p w14:paraId="11CF3BBD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bookmarkStart w:id="0" w:name="_GoBack"/>
      <w:bookmarkEnd w:id="0"/>
      <w:r w:rsidRPr="00031F15">
        <w:rPr>
          <w:rFonts w:ascii="Verdana" w:eastAsia="Times New Roman" w:hAnsi="Verdana" w:cs="Times New Roman"/>
          <w:color w:val="000000"/>
          <w:highlight w:val="darkGray"/>
        </w:rPr>
        <w:t>The Committee recommended extensions of </w:t>
      </w:r>
      <w:hyperlink r:id="rId11" w:tgtFrame="_blank" w:tooltip="A medical condition that a medicine is used for. This can include the treatment, prevention and diagnosis of a disease." w:history="1">
        <w:r w:rsidRPr="00031F15">
          <w:rPr>
            <w:rFonts w:ascii="Verdana" w:eastAsia="Times New Roman" w:hAnsi="Verdana" w:cs="Times New Roman"/>
            <w:color w:val="000000"/>
            <w:highlight w:val="darkGray"/>
            <w:u w:val="single"/>
          </w:rPr>
          <w:t>indication</w:t>
        </w:r>
      </w:hyperlink>
      <w:r w:rsidRPr="00031F15">
        <w:rPr>
          <w:rFonts w:ascii="Verdana" w:eastAsia="Times New Roman" w:hAnsi="Verdana" w:cs="Times New Roman"/>
          <w:color w:val="000000"/>
          <w:highlight w:val="darkGray"/>
        </w:rPr>
        <w:t> for 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Akynzeo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, 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Cyramza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, 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Darzalex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, 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Dificlir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, 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Erleada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, 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Sirturo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,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 Stelara 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and</w:t>
      </w:r>
      <w:r w:rsidRPr="00031F15">
        <w:rPr>
          <w:rFonts w:ascii="Verdana" w:eastAsia="Times New Roman" w:hAnsi="Verdana" w:cs="Times New Roman"/>
          <w:b/>
          <w:bCs/>
          <w:color w:val="000000"/>
          <w:highlight w:val="darkGray"/>
        </w:rPr>
        <w:t> Vyndaqel</w:t>
      </w:r>
      <w:r w:rsidRPr="00031F15">
        <w:rPr>
          <w:rFonts w:ascii="Verdana" w:eastAsia="Times New Roman" w:hAnsi="Verdana" w:cs="Times New Roman"/>
          <w:color w:val="000000"/>
          <w:highlight w:val="darkGray"/>
        </w:rPr>
        <w:t>.</w:t>
      </w:r>
    </w:p>
    <w:p w14:paraId="56336EC4" w14:textId="77777777" w:rsidR="008B3388" w:rsidRPr="00031F15" w:rsidRDefault="008B3388" w:rsidP="008B338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404040"/>
          <w:highlight w:val="yellow"/>
        </w:rPr>
      </w:pPr>
      <w:r w:rsidRPr="00031F15">
        <w:rPr>
          <w:rFonts w:ascii="Verdana" w:eastAsia="Times New Roman" w:hAnsi="Verdana" w:cs="Times New Roman"/>
          <w:b/>
          <w:bCs/>
          <w:color w:val="404040"/>
          <w:highlight w:val="yellow"/>
        </w:rPr>
        <w:lastRenderedPageBreak/>
        <w:t>Agenda and minutes</w:t>
      </w:r>
    </w:p>
    <w:p w14:paraId="0E2D3C62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031F15">
        <w:rPr>
          <w:rFonts w:ascii="Verdana" w:eastAsia="Times New Roman" w:hAnsi="Verdana" w:cs="Times New Roman"/>
          <w:color w:val="000000"/>
          <w:highlight w:val="yellow"/>
        </w:rPr>
        <w:t>The agenda of the December meeting is published on EMA's website. Minutes of the November 2019 </w:t>
      </w:r>
      <w:proofErr w:type="spellStart"/>
      <w:r w:rsidR="00031F15"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fldChar w:fldCharType="begin"/>
      </w:r>
      <w:r w:rsidR="00031F15"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instrText xml:space="preserve"> HYPERLINK "https://www.ema.europa.eu/en/glossary/chmp" \t "_blank" \o "Committee for Medicinal Products for Human Use -  the committee that is responsible for preparing </w:instrText>
      </w:r>
      <w:r w:rsidR="00031F15"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instrText>the Agency's opinions on questions concerning human medicines. </w:instrText>
      </w:r>
      <w:r w:rsidR="00031F15"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cr/>
        <w:instrText xml:space="preserve"> </w:instrText>
      </w:r>
      <w:r w:rsidR="00031F15"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cr/>
        <w:instrText xml:space="preserve"> More information can be found under 'Committee for Medicinal Products for Human Use (CHMP)'." </w:instrText>
      </w:r>
      <w:r w:rsidR="00031F15"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fldChar w:fldCharType="separate"/>
      </w:r>
      <w:r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t>CHMP</w:t>
      </w:r>
      <w:r w:rsidR="00031F15" w:rsidRPr="00031F15">
        <w:rPr>
          <w:rFonts w:ascii="Verdana" w:eastAsia="Times New Roman" w:hAnsi="Verdana" w:cs="Times New Roman"/>
          <w:color w:val="000000"/>
          <w:highlight w:val="yellow"/>
          <w:u w:val="single"/>
        </w:rPr>
        <w:fldChar w:fldCharType="end"/>
      </w:r>
      <w:r w:rsidRPr="00031F15">
        <w:rPr>
          <w:rFonts w:ascii="Verdana" w:eastAsia="Times New Roman" w:hAnsi="Verdana" w:cs="Times New Roman"/>
          <w:color w:val="000000"/>
          <w:highlight w:val="yellow"/>
        </w:rPr>
        <w:t>meeting</w:t>
      </w:r>
      <w:proofErr w:type="spellEnd"/>
      <w:r w:rsidRPr="00031F15">
        <w:rPr>
          <w:rFonts w:ascii="Verdana" w:eastAsia="Times New Roman" w:hAnsi="Verdana" w:cs="Times New Roman"/>
          <w:color w:val="000000"/>
          <w:highlight w:val="yellow"/>
        </w:rPr>
        <w:t xml:space="preserve"> will be published in the coming weeks.</w:t>
      </w:r>
    </w:p>
    <w:p w14:paraId="787233A5" w14:textId="77777777" w:rsidR="008B3388" w:rsidRPr="008B3388" w:rsidRDefault="008B3388" w:rsidP="008B338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404040"/>
        </w:rPr>
      </w:pPr>
      <w:r w:rsidRPr="008B3388">
        <w:rPr>
          <w:rFonts w:ascii="Verdana" w:eastAsia="Times New Roman" w:hAnsi="Verdana" w:cs="Times New Roman"/>
          <w:b/>
          <w:bCs/>
          <w:color w:val="404040"/>
        </w:rPr>
        <w:t>CHMP statistics</w:t>
      </w:r>
    </w:p>
    <w:p w14:paraId="50343C0C" w14:textId="77777777" w:rsidR="008B3388" w:rsidRPr="008B3388" w:rsidRDefault="008B3388" w:rsidP="008B338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B3388">
        <w:rPr>
          <w:rFonts w:ascii="Verdana" w:eastAsia="Times New Roman" w:hAnsi="Verdana" w:cs="Times New Roman"/>
          <w:color w:val="000000"/>
        </w:rPr>
        <w:t>Key figures from the December 2019 </w:t>
      </w:r>
      <w:hyperlink r:id="rId12" w:tgtFrame="_blank" w:tooltip="Committee for Medicinal Products for Human Use -  the committee that is responsible for preparing the Agency's opinions on questions concerning human medicines. &#13; &#13; More information can be found under 'Committee for Medicinal Products for Human Use (CHMP)'." w:history="1">
        <w:r w:rsidRPr="008B3388">
          <w:rPr>
            <w:rFonts w:ascii="Verdana" w:eastAsia="Times New Roman" w:hAnsi="Verdana" w:cs="Times New Roman"/>
            <w:color w:val="000000"/>
            <w:u w:val="single"/>
          </w:rPr>
          <w:t>CHMP</w:t>
        </w:r>
      </w:hyperlink>
      <w:r w:rsidRPr="008B3388">
        <w:rPr>
          <w:rFonts w:ascii="Verdana" w:eastAsia="Times New Roman" w:hAnsi="Verdana" w:cs="Times New Roman"/>
          <w:color w:val="000000"/>
        </w:rPr>
        <w:t> meeting are represented in the graphic below.</w:t>
      </w:r>
    </w:p>
    <w:p w14:paraId="23C101E3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4B"/>
    <w:rsid w:val="00031F15"/>
    <w:rsid w:val="0016444B"/>
    <w:rsid w:val="00453EED"/>
    <w:rsid w:val="008B338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1681A"/>
  <w14:defaultImageDpi w14:val="32767"/>
  <w15:chartTrackingRefBased/>
  <w15:docId w15:val="{9101EE7F-7377-5444-9B85-4E6DD425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3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B338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B3388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8B3388"/>
  </w:style>
  <w:style w:type="character" w:customStyle="1" w:styleId="date-display-single">
    <w:name w:val="date-display-single"/>
    <w:basedOn w:val="DefaultParagraphFont"/>
    <w:rsid w:val="008B3388"/>
  </w:style>
  <w:style w:type="paragraph" w:styleId="NormalWeb">
    <w:name w:val="Normal (Web)"/>
    <w:basedOn w:val="Normal"/>
    <w:uiPriority w:val="99"/>
    <w:semiHidden/>
    <w:unhideWhenUsed/>
    <w:rsid w:val="008B3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B33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3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europa.eu/en/glossary/chm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a.europa.eu/en/glossary/biosimilar-medicine" TargetMode="External"/><Relationship Id="rId12" Type="http://schemas.openxmlformats.org/officeDocument/2006/relationships/hyperlink" Target="https://www.ema.europa.eu/en/glossary/ch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.europa.eu/en/glossary/chmp" TargetMode="External"/><Relationship Id="rId11" Type="http://schemas.openxmlformats.org/officeDocument/2006/relationships/hyperlink" Target="https://www.ema.europa.eu/en/glossary/indication" TargetMode="External"/><Relationship Id="rId5" Type="http://schemas.openxmlformats.org/officeDocument/2006/relationships/hyperlink" Target="https://www.ema.europa.eu/en/glossary/marketing-authorisation" TargetMode="External"/><Relationship Id="rId10" Type="http://schemas.openxmlformats.org/officeDocument/2006/relationships/hyperlink" Target="https://www.ema.europa.eu/en/glossary/generic-medicine" TargetMode="External"/><Relationship Id="rId4" Type="http://schemas.openxmlformats.org/officeDocument/2006/relationships/hyperlink" Target="https://www.ema.europa.eu/en/glossary/chmp" TargetMode="External"/><Relationship Id="rId9" Type="http://schemas.openxmlformats.org/officeDocument/2006/relationships/hyperlink" Target="https://www.ema.europa.eu/en/glossary/marketing-authoris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2020-02-18T10:37:00Z</dcterms:created>
  <dcterms:modified xsi:type="dcterms:W3CDTF">2020-05-11T09:17:00Z</dcterms:modified>
</cp:coreProperties>
</file>