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8792" w14:textId="77777777" w:rsidR="008576D7" w:rsidRPr="008576D7" w:rsidRDefault="008576D7" w:rsidP="008576D7">
      <w:pPr>
        <w:outlineLvl w:val="0"/>
        <w:rPr>
          <w:rFonts w:ascii="Verdana" w:eastAsia="Times New Roman" w:hAnsi="Verdana" w:cs="Times New Roman"/>
          <w:color w:val="000000"/>
          <w:kern w:val="36"/>
          <w:sz w:val="48"/>
          <w:szCs w:val="48"/>
        </w:rPr>
      </w:pPr>
      <w:r w:rsidRPr="008576D7">
        <w:rPr>
          <w:rFonts w:ascii="Verdana" w:eastAsia="Times New Roman" w:hAnsi="Verdana" w:cs="Times New Roman"/>
          <w:color w:val="000000"/>
          <w:kern w:val="36"/>
          <w:sz w:val="48"/>
          <w:szCs w:val="48"/>
        </w:rPr>
        <w:t>EMA Management Board: highlights of October 2019 meeting</w:t>
      </w:r>
    </w:p>
    <w:p w14:paraId="7F91BAEF" w14:textId="77777777" w:rsidR="008576D7" w:rsidRPr="008576D7" w:rsidRDefault="008576D7" w:rsidP="008576D7">
      <w:pPr>
        <w:rPr>
          <w:rFonts w:ascii="Verdana" w:eastAsia="Times New Roman" w:hAnsi="Verdana" w:cs="Times New Roman"/>
          <w:color w:val="000000"/>
        </w:rPr>
      </w:pPr>
      <w:r w:rsidRPr="008576D7">
        <w:rPr>
          <w:rFonts w:ascii="Verdana" w:eastAsia="Times New Roman" w:hAnsi="Verdana" w:cs="Times New Roman"/>
          <w:color w:val="000000"/>
        </w:rPr>
        <w:t>Share</w:t>
      </w:r>
    </w:p>
    <w:p w14:paraId="14BD6D4B" w14:textId="77777777" w:rsidR="008576D7" w:rsidRPr="008576D7" w:rsidRDefault="008576D7" w:rsidP="008576D7">
      <w:pPr>
        <w:rPr>
          <w:rFonts w:ascii="Verdana" w:eastAsia="Times New Roman" w:hAnsi="Verdana" w:cs="Times New Roman"/>
          <w:color w:val="000000"/>
        </w:rPr>
      </w:pPr>
      <w:r w:rsidRPr="008576D7">
        <w:rPr>
          <w:rFonts w:ascii="Verdana" w:eastAsia="Times New Roman" w:hAnsi="Verdana" w:cs="Times New Roman"/>
          <w:color w:val="000000"/>
        </w:rPr>
        <w:t>News 04/10/2019</w:t>
      </w:r>
    </w:p>
    <w:p w14:paraId="4216A37F" w14:textId="77777777" w:rsidR="008576D7" w:rsidRPr="002C56A4" w:rsidRDefault="008576D7" w:rsidP="008576D7">
      <w:pPr>
        <w:spacing w:beforeAutospacing="1" w:afterAutospacing="1"/>
        <w:rPr>
          <w:rFonts w:ascii="Verdana" w:eastAsia="Times New Roman" w:hAnsi="Verdana" w:cs="Times New Roman"/>
          <w:color w:val="000000"/>
          <w:highlight w:val="yellow"/>
        </w:rPr>
      </w:pPr>
      <w:r w:rsidRPr="002C56A4">
        <w:rPr>
          <w:rFonts w:ascii="Verdana" w:eastAsia="Times New Roman" w:hAnsi="Verdana" w:cs="Times New Roman"/>
          <w:color w:val="000000"/>
          <w:highlight w:val="yellow"/>
        </w:rPr>
        <w:t>At its </w:t>
      </w:r>
      <w:hyperlink r:id="rId4" w:tgtFrame="_self" w:history="1">
        <w:r w:rsidRPr="002C56A4">
          <w:rPr>
            <w:rFonts w:ascii="Verdana" w:eastAsia="Times New Roman" w:hAnsi="Verdana" w:cs="Times New Roman"/>
            <w:color w:val="75197C"/>
            <w:highlight w:val="yellow"/>
          </w:rPr>
          <w:t>3 October 2019 meeting</w:t>
        </w:r>
      </w:hyperlink>
      <w:r w:rsidRPr="002C56A4">
        <w:rPr>
          <w:rFonts w:ascii="Verdana" w:eastAsia="Times New Roman" w:hAnsi="Verdana" w:cs="Times New Roman"/>
          <w:color w:val="000000"/>
          <w:highlight w:val="yellow"/>
        </w:rPr>
        <w:t> in Amsterdam, the European Medicines Agency's </w:t>
      </w:r>
      <w:hyperlink r:id="rId5" w:tgtFrame="_self" w:history="1">
        <w:r w:rsidRPr="002C56A4">
          <w:rPr>
            <w:rFonts w:ascii="Verdana" w:eastAsia="Times New Roman" w:hAnsi="Verdana" w:cs="Times New Roman"/>
            <w:color w:val="75197C"/>
            <w:highlight w:val="yellow"/>
          </w:rPr>
          <w:t>Management Board</w:t>
        </w:r>
      </w:hyperlink>
      <w:r w:rsidRPr="002C56A4">
        <w:rPr>
          <w:rFonts w:ascii="Verdana" w:eastAsia="Times New Roman" w:hAnsi="Verdana" w:cs="Times New Roman"/>
          <w:color w:val="000000"/>
          <w:highlight w:val="yellow"/>
        </w:rPr>
        <w:t> elected Lorraine Nolan as vice-chair of the Board for a three-year period. Dr Nolan is Chief Executive of the </w:t>
      </w:r>
      <w:hyperlink r:id="rId6" w:tgtFrame="_blank" w:history="1">
        <w:r w:rsidRPr="002C56A4">
          <w:rPr>
            <w:rFonts w:ascii="Verdana" w:eastAsia="Times New Roman" w:hAnsi="Verdana" w:cs="Times New Roman"/>
            <w:color w:val="75197C"/>
            <w:highlight w:val="yellow"/>
          </w:rPr>
          <w:t>Health Products Regulatory Agency (HPRA)</w:t>
        </w:r>
      </w:hyperlink>
      <w:r w:rsidRPr="002C56A4">
        <w:rPr>
          <w:rFonts w:ascii="Verdana" w:eastAsia="Times New Roman" w:hAnsi="Verdana" w:cs="Times New Roman"/>
          <w:color w:val="000000"/>
          <w:highlight w:val="yellow"/>
        </w:rPr>
        <w:t xml:space="preserve"> in Ireland, a post she has held since January 2016. She has served as a member of EMA's Management Board since March 2016. Dr Nolan replaces </w:t>
      </w:r>
      <w:proofErr w:type="spellStart"/>
      <w:r w:rsidRPr="002C56A4">
        <w:rPr>
          <w:rFonts w:ascii="Verdana" w:eastAsia="Times New Roman" w:hAnsi="Verdana" w:cs="Times New Roman"/>
          <w:color w:val="000000"/>
          <w:highlight w:val="yellow"/>
        </w:rPr>
        <w:t>Grzegorz</w:t>
      </w:r>
      <w:proofErr w:type="spellEnd"/>
      <w:r w:rsidRPr="002C56A4">
        <w:rPr>
          <w:rFonts w:ascii="Verdana" w:eastAsia="Times New Roman" w:hAnsi="Verdana" w:cs="Times New Roman"/>
          <w:color w:val="000000"/>
          <w:highlight w:val="yellow"/>
        </w:rPr>
        <w:t xml:space="preserve"> </w:t>
      </w:r>
      <w:proofErr w:type="spellStart"/>
      <w:r w:rsidRPr="002C56A4">
        <w:rPr>
          <w:rFonts w:ascii="Verdana" w:eastAsia="Times New Roman" w:hAnsi="Verdana" w:cs="Times New Roman"/>
          <w:color w:val="000000"/>
          <w:highlight w:val="yellow"/>
        </w:rPr>
        <w:t>Cessak</w:t>
      </w:r>
      <w:proofErr w:type="spellEnd"/>
      <w:r w:rsidRPr="002C56A4">
        <w:rPr>
          <w:rFonts w:ascii="Verdana" w:eastAsia="Times New Roman" w:hAnsi="Verdana" w:cs="Times New Roman"/>
          <w:color w:val="000000"/>
          <w:highlight w:val="yellow"/>
        </w:rPr>
        <w:t xml:space="preserve"> of Poland as vice-chair.</w:t>
      </w:r>
    </w:p>
    <w:p w14:paraId="798B2363" w14:textId="77777777" w:rsidR="008576D7" w:rsidRPr="008576D7" w:rsidRDefault="008576D7" w:rsidP="008576D7">
      <w:pPr>
        <w:spacing w:beforeAutospacing="1" w:afterAutospacing="1"/>
        <w:rPr>
          <w:rFonts w:ascii="Verdana" w:eastAsia="Times New Roman" w:hAnsi="Verdana" w:cs="Times New Roman"/>
          <w:color w:val="000000"/>
        </w:rPr>
      </w:pPr>
      <w:r w:rsidRPr="002C56A4">
        <w:rPr>
          <w:rFonts w:ascii="Verdana" w:eastAsia="Times New Roman" w:hAnsi="Verdana" w:cs="Times New Roman"/>
          <w:color w:val="000000"/>
          <w:highlight w:val="yellow"/>
        </w:rPr>
        <w:t>The Chair welcomed two new civil society representatives to the Board. Marco Greco, president of the </w:t>
      </w:r>
      <w:hyperlink r:id="rId7" w:tgtFrame="_blank" w:history="1">
        <w:r w:rsidRPr="002C56A4">
          <w:rPr>
            <w:rFonts w:ascii="Verdana" w:eastAsia="Times New Roman" w:hAnsi="Verdana" w:cs="Times New Roman"/>
            <w:color w:val="75197C"/>
            <w:highlight w:val="yellow"/>
          </w:rPr>
          <w:t>European Patient Forum (EPF)</w:t>
        </w:r>
      </w:hyperlink>
      <w:r w:rsidRPr="002C56A4">
        <w:rPr>
          <w:rFonts w:ascii="Verdana" w:eastAsia="Times New Roman" w:hAnsi="Verdana" w:cs="Times New Roman"/>
          <w:color w:val="000000"/>
          <w:highlight w:val="yellow"/>
        </w:rPr>
        <w:t xml:space="preserve"> and </w:t>
      </w:r>
      <w:proofErr w:type="spellStart"/>
      <w:r w:rsidRPr="002C56A4">
        <w:rPr>
          <w:rFonts w:ascii="Verdana" w:eastAsia="Times New Roman" w:hAnsi="Verdana" w:cs="Times New Roman"/>
          <w:color w:val="000000"/>
          <w:highlight w:val="yellow"/>
        </w:rPr>
        <w:t>Ioannis</w:t>
      </w:r>
      <w:proofErr w:type="spellEnd"/>
      <w:r w:rsidRPr="002C56A4">
        <w:rPr>
          <w:rFonts w:ascii="Verdana" w:eastAsia="Times New Roman" w:hAnsi="Verdana" w:cs="Times New Roman"/>
          <w:color w:val="000000"/>
          <w:highlight w:val="yellow"/>
        </w:rPr>
        <w:t xml:space="preserve"> </w:t>
      </w:r>
      <w:proofErr w:type="spellStart"/>
      <w:r w:rsidRPr="002C56A4">
        <w:rPr>
          <w:rFonts w:ascii="Verdana" w:eastAsia="Times New Roman" w:hAnsi="Verdana" w:cs="Times New Roman"/>
          <w:color w:val="000000"/>
          <w:highlight w:val="yellow"/>
        </w:rPr>
        <w:t>Natsis</w:t>
      </w:r>
      <w:proofErr w:type="spellEnd"/>
      <w:r w:rsidRPr="002C56A4">
        <w:rPr>
          <w:rFonts w:ascii="Verdana" w:eastAsia="Times New Roman" w:hAnsi="Verdana" w:cs="Times New Roman"/>
          <w:color w:val="000000"/>
          <w:highlight w:val="yellow"/>
        </w:rPr>
        <w:t>, policy manager for universal access and affordable medicines at the </w:t>
      </w:r>
      <w:hyperlink r:id="rId8" w:tgtFrame="_blank" w:history="1">
        <w:r w:rsidRPr="002C56A4">
          <w:rPr>
            <w:rFonts w:ascii="Verdana" w:eastAsia="Times New Roman" w:hAnsi="Verdana" w:cs="Times New Roman"/>
            <w:color w:val="75197C"/>
            <w:highlight w:val="yellow"/>
          </w:rPr>
          <w:t>European Public Health Alliance (EPHA)</w:t>
        </w:r>
      </w:hyperlink>
      <w:r w:rsidRPr="002C56A4">
        <w:rPr>
          <w:rFonts w:ascii="Verdana" w:eastAsia="Times New Roman" w:hAnsi="Verdana" w:cs="Times New Roman"/>
          <w:color w:val="000000"/>
          <w:highlight w:val="yellow"/>
        </w:rPr>
        <w:t xml:space="preserve"> will represent patient </w:t>
      </w:r>
      <w:proofErr w:type="spellStart"/>
      <w:r w:rsidRPr="002C56A4">
        <w:rPr>
          <w:rFonts w:ascii="Verdana" w:eastAsia="Times New Roman" w:hAnsi="Verdana" w:cs="Times New Roman"/>
          <w:color w:val="000000"/>
          <w:highlight w:val="yellow"/>
        </w:rPr>
        <w:t>organisations</w:t>
      </w:r>
      <w:proofErr w:type="spellEnd"/>
      <w:r w:rsidRPr="002C56A4">
        <w:rPr>
          <w:rFonts w:ascii="Verdana" w:eastAsia="Times New Roman" w:hAnsi="Verdana" w:cs="Times New Roman"/>
          <w:color w:val="000000"/>
          <w:highlight w:val="yellow"/>
        </w:rPr>
        <w:t xml:space="preserve">. They will both serve a three-year term that can be renewed once. Marco Greco and </w:t>
      </w:r>
      <w:proofErr w:type="spellStart"/>
      <w:r w:rsidRPr="002C56A4">
        <w:rPr>
          <w:rFonts w:ascii="Verdana" w:eastAsia="Times New Roman" w:hAnsi="Verdana" w:cs="Times New Roman"/>
          <w:color w:val="000000"/>
          <w:highlight w:val="yellow"/>
        </w:rPr>
        <w:t>Ioannis</w:t>
      </w:r>
      <w:proofErr w:type="spellEnd"/>
      <w:r w:rsidRPr="002C56A4">
        <w:rPr>
          <w:rFonts w:ascii="Verdana" w:eastAsia="Times New Roman" w:hAnsi="Verdana" w:cs="Times New Roman"/>
          <w:color w:val="000000"/>
          <w:highlight w:val="yellow"/>
        </w:rPr>
        <w:t xml:space="preserve"> </w:t>
      </w:r>
      <w:proofErr w:type="spellStart"/>
      <w:r w:rsidRPr="002C56A4">
        <w:rPr>
          <w:rFonts w:ascii="Verdana" w:eastAsia="Times New Roman" w:hAnsi="Verdana" w:cs="Times New Roman"/>
          <w:color w:val="000000"/>
          <w:highlight w:val="yellow"/>
        </w:rPr>
        <w:t>Natsis</w:t>
      </w:r>
      <w:proofErr w:type="spellEnd"/>
      <w:r w:rsidRPr="002C56A4">
        <w:rPr>
          <w:rFonts w:ascii="Verdana" w:eastAsia="Times New Roman" w:hAnsi="Verdana" w:cs="Times New Roman"/>
          <w:color w:val="000000"/>
          <w:highlight w:val="yellow"/>
        </w:rPr>
        <w:t xml:space="preserve"> join the two representatives of doctors’ and veterinarians’ </w:t>
      </w:r>
      <w:proofErr w:type="spellStart"/>
      <w:r w:rsidRPr="002C56A4">
        <w:rPr>
          <w:rFonts w:ascii="Verdana" w:eastAsia="Times New Roman" w:hAnsi="Verdana" w:cs="Times New Roman"/>
          <w:color w:val="000000"/>
          <w:highlight w:val="yellow"/>
        </w:rPr>
        <w:t>organisations</w:t>
      </w:r>
      <w:proofErr w:type="spellEnd"/>
      <w:r w:rsidRPr="002C56A4">
        <w:rPr>
          <w:rFonts w:ascii="Verdana" w:eastAsia="Times New Roman" w:hAnsi="Verdana" w:cs="Times New Roman"/>
          <w:color w:val="000000"/>
          <w:highlight w:val="yellow"/>
        </w:rPr>
        <w:t xml:space="preserve"> who were re-appointed as civil society members to the Board.</w:t>
      </w:r>
    </w:p>
    <w:p w14:paraId="69D98E83" w14:textId="77777777" w:rsidR="008576D7" w:rsidRPr="008576D7" w:rsidRDefault="008576D7" w:rsidP="008576D7">
      <w:pPr>
        <w:spacing w:before="100" w:beforeAutospacing="1" w:after="100" w:afterAutospacing="1"/>
        <w:outlineLvl w:val="3"/>
        <w:rPr>
          <w:rFonts w:ascii="Verdana" w:eastAsia="Times New Roman" w:hAnsi="Verdana" w:cs="Times New Roman"/>
          <w:b/>
          <w:bCs/>
          <w:color w:val="404040"/>
        </w:rPr>
      </w:pPr>
      <w:r w:rsidRPr="008576D7">
        <w:rPr>
          <w:rFonts w:ascii="Verdana" w:eastAsia="Times New Roman" w:hAnsi="Verdana" w:cs="Times New Roman"/>
          <w:b/>
          <w:bCs/>
          <w:color w:val="404040"/>
        </w:rPr>
        <w:t>Brexit update</w:t>
      </w:r>
    </w:p>
    <w:p w14:paraId="5A3D3A0A" w14:textId="77777777" w:rsidR="008576D7" w:rsidRPr="008576D7" w:rsidRDefault="008576D7" w:rsidP="008576D7">
      <w:pPr>
        <w:spacing w:beforeAutospacing="1" w:afterAutospacing="1"/>
        <w:rPr>
          <w:rFonts w:ascii="Verdana" w:eastAsia="Times New Roman" w:hAnsi="Verdana" w:cs="Times New Roman"/>
          <w:color w:val="000000"/>
        </w:rPr>
      </w:pPr>
      <w:r w:rsidRPr="008576D7">
        <w:rPr>
          <w:rFonts w:ascii="Verdana" w:eastAsia="Times New Roman" w:hAnsi="Verdana" w:cs="Times New Roman"/>
          <w:color w:val="000000"/>
        </w:rPr>
        <w:t>The Board was updated on the Agency’s ongoing preparations for the </w:t>
      </w:r>
      <w:hyperlink r:id="rId9" w:tgtFrame="_self" w:history="1">
        <w:r w:rsidRPr="008576D7">
          <w:rPr>
            <w:rFonts w:ascii="Verdana" w:eastAsia="Times New Roman" w:hAnsi="Verdana" w:cs="Times New Roman"/>
            <w:color w:val="75197C"/>
          </w:rPr>
          <w:t>withdrawal of the United Kingdom from the European Union</w:t>
        </w:r>
      </w:hyperlink>
      <w:r w:rsidRPr="008576D7">
        <w:rPr>
          <w:rFonts w:ascii="Verdana" w:eastAsia="Times New Roman" w:hAnsi="Verdana" w:cs="Times New Roman"/>
          <w:color w:val="000000"/>
        </w:rPr>
        <w:t>. Interim arrangements allowing staff to telework from London have now largely come to an end. The total available workforce is roughly 730 - a further 6% reduction compared to the last update to the Board in June. </w:t>
      </w:r>
    </w:p>
    <w:p w14:paraId="79E87489" w14:textId="77777777" w:rsidR="008576D7" w:rsidRPr="008576D7" w:rsidRDefault="008576D7" w:rsidP="008576D7">
      <w:pPr>
        <w:spacing w:beforeAutospacing="1" w:afterAutospacing="1"/>
        <w:rPr>
          <w:rFonts w:ascii="Verdana" w:eastAsia="Times New Roman" w:hAnsi="Verdana" w:cs="Times New Roman"/>
          <w:color w:val="000000"/>
        </w:rPr>
      </w:pPr>
      <w:r w:rsidRPr="002C56A4">
        <w:rPr>
          <w:rFonts w:ascii="Verdana" w:eastAsia="Times New Roman" w:hAnsi="Verdana" w:cs="Times New Roman"/>
          <w:color w:val="000000"/>
          <w:highlight w:val="yellow"/>
        </w:rPr>
        <w:t xml:space="preserve">Due to these ongoing resource constraints, delivery of EMA’s work </w:t>
      </w:r>
      <w:proofErr w:type="spellStart"/>
      <w:r w:rsidRPr="002C56A4">
        <w:rPr>
          <w:rFonts w:ascii="Verdana" w:eastAsia="Times New Roman" w:hAnsi="Verdana" w:cs="Times New Roman"/>
          <w:color w:val="000000"/>
          <w:highlight w:val="yellow"/>
        </w:rPr>
        <w:t>programme</w:t>
      </w:r>
      <w:proofErr w:type="spellEnd"/>
      <w:r w:rsidRPr="002C56A4">
        <w:rPr>
          <w:rFonts w:ascii="Verdana" w:eastAsia="Times New Roman" w:hAnsi="Verdana" w:cs="Times New Roman"/>
          <w:color w:val="000000"/>
          <w:highlight w:val="yellow"/>
        </w:rPr>
        <w:t xml:space="preserve"> for Q4 2019 will be challenging for the Agency, particularly in view of the need to implement </w:t>
      </w:r>
      <w:hyperlink r:id="rId10" w:tgtFrame="_self" w:history="1">
        <w:r w:rsidRPr="002C56A4">
          <w:rPr>
            <w:rFonts w:ascii="Verdana" w:eastAsia="Times New Roman" w:hAnsi="Verdana" w:cs="Times New Roman"/>
            <w:color w:val="75197C"/>
            <w:highlight w:val="yellow"/>
          </w:rPr>
          <w:t>new legislation for veterinary medicines</w:t>
        </w:r>
      </w:hyperlink>
      <w:r w:rsidRPr="002C56A4">
        <w:rPr>
          <w:rFonts w:ascii="Verdana" w:eastAsia="Times New Roman" w:hAnsi="Verdana" w:cs="Times New Roman"/>
          <w:color w:val="000000"/>
          <w:highlight w:val="yellow"/>
        </w:rPr>
        <w:t> and </w:t>
      </w:r>
      <w:hyperlink r:id="rId11" w:tgtFrame="_self" w:history="1">
        <w:r w:rsidRPr="002C56A4">
          <w:rPr>
            <w:rFonts w:ascii="Verdana" w:eastAsia="Times New Roman" w:hAnsi="Verdana" w:cs="Times New Roman"/>
            <w:color w:val="75197C"/>
            <w:highlight w:val="yellow"/>
          </w:rPr>
          <w:t>medical devices</w:t>
        </w:r>
      </w:hyperlink>
      <w:r w:rsidRPr="002C56A4">
        <w:rPr>
          <w:rFonts w:ascii="Verdana" w:eastAsia="Times New Roman" w:hAnsi="Verdana" w:cs="Times New Roman"/>
          <w:color w:val="000000"/>
          <w:highlight w:val="yellow"/>
        </w:rPr>
        <w:t>, which will bring additional workload.</w:t>
      </w:r>
    </w:p>
    <w:p w14:paraId="65CBA2FA" w14:textId="77777777" w:rsidR="008576D7" w:rsidRPr="002C56A4" w:rsidRDefault="008576D7" w:rsidP="008576D7">
      <w:pPr>
        <w:spacing w:beforeAutospacing="1"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t>In order to be best prepared to address future challenges with the existing workforce, </w:t>
      </w:r>
      <w:hyperlink r:id="rId12" w:history="1">
        <w:r w:rsidRPr="002C56A4">
          <w:rPr>
            <w:rFonts w:ascii="Verdana" w:eastAsia="Times New Roman" w:hAnsi="Verdana" w:cs="Times New Roman"/>
            <w:color w:val="75197C"/>
            <w:highlight w:val="lightGray"/>
          </w:rPr>
          <w:t>Executive Director</w:t>
        </w:r>
      </w:hyperlink>
      <w:r w:rsidRPr="002C56A4">
        <w:rPr>
          <w:rFonts w:ascii="Verdana" w:eastAsia="Times New Roman" w:hAnsi="Verdana" w:cs="Times New Roman"/>
          <w:color w:val="000000"/>
          <w:highlight w:val="lightGray"/>
        </w:rPr>
        <w:t xml:space="preserve"> Guido </w:t>
      </w:r>
      <w:proofErr w:type="spellStart"/>
      <w:r w:rsidRPr="002C56A4">
        <w:rPr>
          <w:rFonts w:ascii="Verdana" w:eastAsia="Times New Roman" w:hAnsi="Verdana" w:cs="Times New Roman"/>
          <w:color w:val="000000"/>
          <w:highlight w:val="lightGray"/>
        </w:rPr>
        <w:t>Rasi</w:t>
      </w:r>
      <w:proofErr w:type="spellEnd"/>
      <w:r w:rsidRPr="002C56A4">
        <w:rPr>
          <w:rFonts w:ascii="Verdana" w:eastAsia="Times New Roman" w:hAnsi="Verdana" w:cs="Times New Roman"/>
          <w:color w:val="000000"/>
          <w:highlight w:val="lightGray"/>
        </w:rPr>
        <w:t xml:space="preserve"> announced that the Agency is reviewing its </w:t>
      </w:r>
      <w:proofErr w:type="spellStart"/>
      <w:r w:rsidRPr="002C56A4">
        <w:rPr>
          <w:rFonts w:ascii="Verdana" w:eastAsia="Times New Roman" w:hAnsi="Verdana" w:cs="Times New Roman"/>
          <w:color w:val="000000"/>
          <w:highlight w:val="lightGray"/>
        </w:rPr>
        <w:t>organisational</w:t>
      </w:r>
      <w:proofErr w:type="spellEnd"/>
      <w:r w:rsidRPr="002C56A4">
        <w:rPr>
          <w:rFonts w:ascii="Verdana" w:eastAsia="Times New Roman" w:hAnsi="Verdana" w:cs="Times New Roman"/>
          <w:color w:val="000000"/>
          <w:highlight w:val="lightGray"/>
        </w:rPr>
        <w:t xml:space="preserve"> structure and looking to set up task forces that will focus on areas that are also key priorities for the network such as digital business transformation, data analytics and methods, regulatory science and innovation, and </w:t>
      </w:r>
      <w:hyperlink r:id="rId13" w:tgtFrame="_blank" w:tooltip="A study performed to investigate the safety or efficacy of a medicine. For human medicines, these studies are carried out in human volunteers." w:history="1">
        <w:r w:rsidRPr="002C56A4">
          <w:rPr>
            <w:rFonts w:ascii="Verdana" w:eastAsia="Times New Roman" w:hAnsi="Verdana" w:cs="Times New Roman"/>
            <w:color w:val="000000"/>
            <w:highlight w:val="lightGray"/>
          </w:rPr>
          <w:t>clinical trials</w:t>
        </w:r>
      </w:hyperlink>
      <w:r w:rsidRPr="002C56A4">
        <w:rPr>
          <w:rFonts w:ascii="Verdana" w:eastAsia="Times New Roman" w:hAnsi="Verdana" w:cs="Times New Roman"/>
          <w:color w:val="000000"/>
          <w:highlight w:val="lightGray"/>
        </w:rPr>
        <w:t> and manufacturing strategy.</w:t>
      </w:r>
    </w:p>
    <w:p w14:paraId="503850B9" w14:textId="77777777" w:rsidR="008576D7" w:rsidRPr="002C56A4" w:rsidRDefault="008576D7" w:rsidP="008576D7">
      <w:pPr>
        <w:spacing w:beforeAutospacing="1"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lastRenderedPageBreak/>
        <w:t>Operations in the area of human medicines will be integrated to strengthen the therapeutic focus all along a medicine’s lifecycle, with the ultimate aim of assuring the quality of scientific opinions and further improving support to EMA’s </w:t>
      </w:r>
      <w:hyperlink r:id="rId14" w:tgtFrame="_self" w:history="1">
        <w:r w:rsidRPr="002C56A4">
          <w:rPr>
            <w:rFonts w:ascii="Verdana" w:eastAsia="Times New Roman" w:hAnsi="Verdana" w:cs="Times New Roman"/>
            <w:color w:val="75197C"/>
            <w:highlight w:val="lightGray"/>
          </w:rPr>
          <w:t>scientific committees</w:t>
        </w:r>
      </w:hyperlink>
      <w:r w:rsidRPr="002C56A4">
        <w:rPr>
          <w:rFonts w:ascii="Verdana" w:eastAsia="Times New Roman" w:hAnsi="Verdana" w:cs="Times New Roman"/>
          <w:color w:val="000000"/>
          <w:highlight w:val="lightGray"/>
        </w:rPr>
        <w:t>.</w:t>
      </w:r>
    </w:p>
    <w:p w14:paraId="1B7DA55F" w14:textId="77777777" w:rsidR="008576D7" w:rsidRPr="008576D7" w:rsidRDefault="008576D7" w:rsidP="008576D7">
      <w:pPr>
        <w:spacing w:before="100" w:beforeAutospacing="1" w:after="100" w:afterAutospacing="1"/>
        <w:rPr>
          <w:rFonts w:ascii="Verdana" w:eastAsia="Times New Roman" w:hAnsi="Verdana" w:cs="Times New Roman"/>
          <w:color w:val="000000"/>
        </w:rPr>
      </w:pPr>
      <w:r w:rsidRPr="002C56A4">
        <w:rPr>
          <w:rFonts w:ascii="Verdana" w:eastAsia="Times New Roman" w:hAnsi="Verdana" w:cs="Times New Roman"/>
          <w:color w:val="000000"/>
          <w:highlight w:val="lightGray"/>
        </w:rPr>
        <w:t>Overall, this will ensure that the Agency is geared up for the future with more efficient processes firmly rooted in digital technology to keep pace with rapid advances in science. More information will be shared with stakeholders in due course.</w:t>
      </w:r>
    </w:p>
    <w:p w14:paraId="3E3DF106" w14:textId="77777777" w:rsidR="008576D7" w:rsidRPr="008576D7" w:rsidRDefault="008576D7" w:rsidP="008576D7">
      <w:pPr>
        <w:spacing w:before="100" w:beforeAutospacing="1" w:after="100" w:afterAutospacing="1"/>
        <w:rPr>
          <w:rFonts w:ascii="Verdana" w:eastAsia="Times New Roman" w:hAnsi="Verdana" w:cs="Times New Roman"/>
          <w:color w:val="000000"/>
        </w:rPr>
      </w:pPr>
      <w:r w:rsidRPr="002C56A4">
        <w:rPr>
          <w:rFonts w:ascii="Verdana" w:eastAsia="Times New Roman" w:hAnsi="Verdana" w:cs="Times New Roman"/>
          <w:color w:val="000000"/>
          <w:highlight w:val="yellow"/>
        </w:rPr>
        <w:t xml:space="preserve">The Board also heard that in accordance with current planning, the construction of the new EMA building in Amsterdam Zuid will be </w:t>
      </w:r>
      <w:proofErr w:type="spellStart"/>
      <w:r w:rsidRPr="002C56A4">
        <w:rPr>
          <w:rFonts w:ascii="Verdana" w:eastAsia="Times New Roman" w:hAnsi="Verdana" w:cs="Times New Roman"/>
          <w:color w:val="000000"/>
          <w:highlight w:val="yellow"/>
        </w:rPr>
        <w:t>finalised</w:t>
      </w:r>
      <w:proofErr w:type="spellEnd"/>
      <w:r w:rsidRPr="002C56A4">
        <w:rPr>
          <w:rFonts w:ascii="Verdana" w:eastAsia="Times New Roman" w:hAnsi="Verdana" w:cs="Times New Roman"/>
          <w:color w:val="000000"/>
          <w:highlight w:val="yellow"/>
        </w:rPr>
        <w:t xml:space="preserve"> in November 2019 and the building will then be handed over to EMA on 15 November. Between mid-November and January, moving of equipment, IT configuration and testing will take place so that staff can move in during the week starting 13 January 2020.</w:t>
      </w:r>
    </w:p>
    <w:p w14:paraId="69543FE7" w14:textId="77777777" w:rsidR="008576D7" w:rsidRPr="008576D7" w:rsidRDefault="008576D7" w:rsidP="008576D7">
      <w:pPr>
        <w:spacing w:before="100" w:beforeAutospacing="1" w:after="100" w:afterAutospacing="1"/>
        <w:outlineLvl w:val="3"/>
        <w:rPr>
          <w:rFonts w:ascii="Verdana" w:eastAsia="Times New Roman" w:hAnsi="Verdana" w:cs="Times New Roman"/>
          <w:b/>
          <w:bCs/>
          <w:color w:val="404040"/>
        </w:rPr>
      </w:pPr>
      <w:r w:rsidRPr="008576D7">
        <w:rPr>
          <w:rFonts w:ascii="Verdana" w:eastAsia="Times New Roman" w:hAnsi="Verdana" w:cs="Times New Roman"/>
          <w:b/>
          <w:bCs/>
          <w:color w:val="404040"/>
        </w:rPr>
        <w:t>Mid-year report 2019 adopted</w:t>
      </w:r>
    </w:p>
    <w:p w14:paraId="6024811E" w14:textId="77777777" w:rsidR="008576D7" w:rsidRPr="002C56A4" w:rsidRDefault="008576D7" w:rsidP="008576D7">
      <w:pPr>
        <w:spacing w:before="100" w:beforeAutospacing="1" w:after="100"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t>The Management Board heard an update on the Agency’s activities in the first half of 2019. The number of new initial evaluation applications for human medicines received in the first half of 2019 was 34% higher than that received during the same period in 2018 (63 in the first half of 2019 versus 47 in the first half of 2018).</w:t>
      </w:r>
    </w:p>
    <w:p w14:paraId="737A53EE" w14:textId="77777777" w:rsidR="008576D7" w:rsidRPr="002C56A4" w:rsidRDefault="008576D7" w:rsidP="008576D7">
      <w:pPr>
        <w:spacing w:beforeAutospacing="1"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t>In veterinary medicine, initial evaluation applications also increased compared to the first half of 2019 (13 applications received in the first half of the year vs seven in the same period in 2018). The number of requests for </w:t>
      </w:r>
      <w:hyperlink r:id="rId15"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2C56A4">
          <w:rPr>
            <w:rFonts w:ascii="Verdana" w:eastAsia="Times New Roman" w:hAnsi="Verdana" w:cs="Times New Roman"/>
            <w:color w:val="000000"/>
            <w:highlight w:val="lightGray"/>
          </w:rPr>
          <w:t>scientific advice</w:t>
        </w:r>
      </w:hyperlink>
      <w:r w:rsidRPr="002C56A4">
        <w:rPr>
          <w:rFonts w:ascii="Verdana" w:eastAsia="Times New Roman" w:hAnsi="Verdana" w:cs="Times New Roman"/>
          <w:color w:val="000000"/>
          <w:highlight w:val="lightGray"/>
        </w:rPr>
        <w:t> for veterinary medicines decreased slightly compared to the previous year - 12 in the first half of 2019 compared to 16 during the same period in 2018.</w:t>
      </w:r>
    </w:p>
    <w:p w14:paraId="36F2D137" w14:textId="77777777" w:rsidR="008576D7" w:rsidRPr="002C56A4" w:rsidRDefault="008576D7" w:rsidP="008576D7">
      <w:pPr>
        <w:spacing w:beforeAutospacing="1"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t>The number of transfers of </w:t>
      </w:r>
      <w:hyperlink r:id="rId16" w:tgtFrame="_blank" w:tooltip="An application made to a European regulatory authority for approval to market a medicine within the European Union." w:history="1">
        <w:r w:rsidRPr="002C56A4">
          <w:rPr>
            <w:rFonts w:ascii="Verdana" w:eastAsia="Times New Roman" w:hAnsi="Verdana" w:cs="Times New Roman"/>
            <w:color w:val="000000"/>
            <w:highlight w:val="lightGray"/>
          </w:rPr>
          <w:t xml:space="preserve">marketing </w:t>
        </w:r>
        <w:proofErr w:type="spellStart"/>
        <w:r w:rsidRPr="002C56A4">
          <w:rPr>
            <w:rFonts w:ascii="Verdana" w:eastAsia="Times New Roman" w:hAnsi="Verdana" w:cs="Times New Roman"/>
            <w:color w:val="000000"/>
            <w:highlight w:val="lightGray"/>
          </w:rPr>
          <w:t>authorisation</w:t>
        </w:r>
        <w:proofErr w:type="spellEnd"/>
        <w:r w:rsidRPr="002C56A4">
          <w:rPr>
            <w:rFonts w:ascii="Verdana" w:eastAsia="Times New Roman" w:hAnsi="Verdana" w:cs="Times New Roman"/>
            <w:color w:val="000000"/>
            <w:highlight w:val="lightGray"/>
          </w:rPr>
          <w:t xml:space="preserve"> applications</w:t>
        </w:r>
      </w:hyperlink>
      <w:r w:rsidRPr="002C56A4">
        <w:rPr>
          <w:rFonts w:ascii="Verdana" w:eastAsia="Times New Roman" w:hAnsi="Verdana" w:cs="Times New Roman"/>
          <w:color w:val="000000"/>
          <w:highlight w:val="lightGray"/>
        </w:rPr>
        <w:t> dropped significantly compared to 2018, returning to 2017 levels. This is because most of the Brexit-related transfers had been submitted by the end of 2018. </w:t>
      </w:r>
    </w:p>
    <w:p w14:paraId="1C50F948" w14:textId="77777777" w:rsidR="008576D7" w:rsidRPr="008576D7" w:rsidRDefault="008576D7" w:rsidP="008576D7">
      <w:pPr>
        <w:spacing w:before="100" w:beforeAutospacing="1" w:after="100" w:afterAutospacing="1"/>
        <w:rPr>
          <w:rFonts w:ascii="Verdana" w:eastAsia="Times New Roman" w:hAnsi="Verdana" w:cs="Times New Roman"/>
          <w:color w:val="000000"/>
        </w:rPr>
      </w:pPr>
      <w:r w:rsidRPr="002C56A4">
        <w:rPr>
          <w:rFonts w:ascii="Verdana" w:eastAsia="Times New Roman" w:hAnsi="Verdana" w:cs="Times New Roman"/>
          <w:color w:val="000000"/>
          <w:highlight w:val="lightGray"/>
        </w:rPr>
        <w:t>EMA’s mid-year report will be published on the EMA website shortly.</w:t>
      </w:r>
      <w:r w:rsidRPr="008576D7">
        <w:rPr>
          <w:rFonts w:ascii="Verdana" w:eastAsia="Times New Roman" w:hAnsi="Verdana" w:cs="Times New Roman"/>
          <w:color w:val="000000"/>
        </w:rPr>
        <w:t> </w:t>
      </w:r>
    </w:p>
    <w:p w14:paraId="697811E0" w14:textId="77777777" w:rsidR="008576D7" w:rsidRPr="008576D7" w:rsidRDefault="008576D7" w:rsidP="008576D7">
      <w:pPr>
        <w:spacing w:before="100" w:beforeAutospacing="1" w:after="100" w:afterAutospacing="1"/>
        <w:outlineLvl w:val="3"/>
        <w:rPr>
          <w:rFonts w:ascii="Verdana" w:eastAsia="Times New Roman" w:hAnsi="Verdana" w:cs="Times New Roman"/>
          <w:b/>
          <w:bCs/>
          <w:color w:val="404040"/>
        </w:rPr>
      </w:pPr>
      <w:r w:rsidRPr="008576D7">
        <w:rPr>
          <w:rFonts w:ascii="Verdana" w:eastAsia="Times New Roman" w:hAnsi="Verdana" w:cs="Times New Roman"/>
          <w:b/>
          <w:bCs/>
          <w:color w:val="404040"/>
        </w:rPr>
        <w:t>EU IT systems required by the Clinical Trial Regulation </w:t>
      </w:r>
    </w:p>
    <w:p w14:paraId="3E52AC98" w14:textId="77777777" w:rsidR="008576D7" w:rsidRPr="008576D7" w:rsidRDefault="008576D7" w:rsidP="008576D7">
      <w:pPr>
        <w:spacing w:beforeAutospacing="1" w:afterAutospacing="1"/>
        <w:rPr>
          <w:rFonts w:ascii="Verdana" w:eastAsia="Times New Roman" w:hAnsi="Verdana" w:cs="Times New Roman"/>
          <w:color w:val="000000"/>
        </w:rPr>
      </w:pPr>
      <w:r w:rsidRPr="008576D7">
        <w:rPr>
          <w:rFonts w:ascii="Verdana" w:eastAsia="Times New Roman" w:hAnsi="Verdana" w:cs="Times New Roman"/>
          <w:color w:val="000000"/>
        </w:rPr>
        <w:t>The Management Board endorsed the six-monthly monitoring report on the development of the </w:t>
      </w:r>
      <w:hyperlink r:id="rId17" w:tgtFrame="_blank" w:tooltip="A study performed to investigate the safety or efficacy of a medicine. For human medicines, these studies are carried out in human volunteers." w:history="1">
        <w:r w:rsidRPr="008576D7">
          <w:rPr>
            <w:rFonts w:ascii="Verdana" w:eastAsia="Times New Roman" w:hAnsi="Verdana" w:cs="Times New Roman"/>
            <w:color w:val="000000"/>
          </w:rPr>
          <w:t xml:space="preserve">Clinical </w:t>
        </w:r>
        <w:proofErr w:type="spellStart"/>
        <w:r w:rsidRPr="008576D7">
          <w:rPr>
            <w:rFonts w:ascii="Verdana" w:eastAsia="Times New Roman" w:hAnsi="Verdana" w:cs="Times New Roman"/>
            <w:color w:val="000000"/>
          </w:rPr>
          <w:t>Trial</w:t>
        </w:r>
      </w:hyperlink>
      <w:r w:rsidRPr="008576D7">
        <w:rPr>
          <w:rFonts w:ascii="Verdana" w:eastAsia="Times New Roman" w:hAnsi="Verdana" w:cs="Times New Roman"/>
          <w:color w:val="000000"/>
        </w:rPr>
        <w:t>Information</w:t>
      </w:r>
      <w:proofErr w:type="spellEnd"/>
      <w:r w:rsidRPr="008576D7">
        <w:rPr>
          <w:rFonts w:ascii="Verdana" w:eastAsia="Times New Roman" w:hAnsi="Verdana" w:cs="Times New Roman"/>
          <w:color w:val="000000"/>
        </w:rPr>
        <w:t xml:space="preserve"> System (CTIS), which assesses the performance of the IT supplier against agreed key performance indicators. </w:t>
      </w:r>
    </w:p>
    <w:p w14:paraId="04B4247B" w14:textId="77777777" w:rsidR="008576D7" w:rsidRPr="002C56A4" w:rsidRDefault="008576D7" w:rsidP="008576D7">
      <w:pPr>
        <w:spacing w:before="100" w:beforeAutospacing="1" w:after="100"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lastRenderedPageBreak/>
        <w:t>The Board agreed that actions proposed in the report should be further developed, e.g. improving the quality of the work delivered by the supplier and selecting the critical items needed for audit, as well as extending the monitoring period for at least three releases. </w:t>
      </w:r>
    </w:p>
    <w:p w14:paraId="0DE82D52" w14:textId="77777777" w:rsidR="008576D7" w:rsidRPr="002C56A4" w:rsidRDefault="008576D7" w:rsidP="008576D7">
      <w:pPr>
        <w:spacing w:beforeAutospacing="1" w:afterAutospacing="1"/>
        <w:rPr>
          <w:rFonts w:ascii="Verdana" w:eastAsia="Times New Roman" w:hAnsi="Verdana" w:cs="Times New Roman"/>
          <w:color w:val="000000"/>
          <w:highlight w:val="lightGray"/>
        </w:rPr>
      </w:pPr>
      <w:r w:rsidRPr="002C56A4">
        <w:rPr>
          <w:rFonts w:ascii="Verdana" w:eastAsia="Times New Roman" w:hAnsi="Verdana" w:cs="Times New Roman"/>
          <w:color w:val="000000"/>
          <w:highlight w:val="lightGray"/>
        </w:rPr>
        <w:t>The first release developed in the agile, iterative delivery model was validated in September 2019 by the nominated product owners of EU Member States, sponsors and the European Commission. It was confirmed that all 79 items had been delivered. This release enhanced CTIS functionalities concerning submission of </w:t>
      </w:r>
      <w:hyperlink r:id="rId18" w:tgtFrame="_blank" w:tooltip="A study performed to investigate the safety or efficacy of a medicine. For human medicines, these studies are carried out in human volunteers." w:history="1">
        <w:r w:rsidRPr="002C56A4">
          <w:rPr>
            <w:rFonts w:ascii="Verdana" w:eastAsia="Times New Roman" w:hAnsi="Verdana" w:cs="Times New Roman"/>
            <w:color w:val="000000"/>
            <w:highlight w:val="lightGray"/>
          </w:rPr>
          <w:t>clinical trials</w:t>
        </w:r>
      </w:hyperlink>
      <w:r w:rsidRPr="002C56A4">
        <w:rPr>
          <w:rFonts w:ascii="Verdana" w:eastAsia="Times New Roman" w:hAnsi="Verdana" w:cs="Times New Roman"/>
          <w:color w:val="000000"/>
          <w:highlight w:val="lightGray"/>
        </w:rPr>
        <w:t> and their assessment process, user management and included other general improvements. </w:t>
      </w:r>
    </w:p>
    <w:p w14:paraId="1F1F63D4" w14:textId="77777777" w:rsidR="008576D7" w:rsidRPr="008576D7" w:rsidRDefault="008576D7" w:rsidP="008576D7">
      <w:pPr>
        <w:spacing w:before="100" w:beforeAutospacing="1" w:after="100" w:afterAutospacing="1"/>
        <w:rPr>
          <w:rFonts w:ascii="Verdana" w:eastAsia="Times New Roman" w:hAnsi="Verdana" w:cs="Times New Roman"/>
          <w:color w:val="000000"/>
        </w:rPr>
      </w:pPr>
      <w:r w:rsidRPr="002C56A4">
        <w:rPr>
          <w:rFonts w:ascii="Verdana" w:eastAsia="Times New Roman" w:hAnsi="Verdana" w:cs="Times New Roman"/>
          <w:color w:val="000000"/>
          <w:highlight w:val="lightGray"/>
        </w:rPr>
        <w:t>In the coming months, the product owners will carry out an operational assessment of the system to identify critical business blockers to be developed for the auditable version, to enable the Board to consider the timing of the audit.</w:t>
      </w:r>
    </w:p>
    <w:p w14:paraId="124588F8" w14:textId="77777777" w:rsidR="008576D7" w:rsidRPr="008576D7" w:rsidRDefault="008576D7" w:rsidP="008576D7">
      <w:pPr>
        <w:spacing w:before="100" w:beforeAutospacing="1" w:after="100" w:afterAutospacing="1"/>
        <w:outlineLvl w:val="3"/>
        <w:rPr>
          <w:rFonts w:ascii="Verdana" w:eastAsia="Times New Roman" w:hAnsi="Verdana" w:cs="Times New Roman"/>
          <w:b/>
          <w:bCs/>
          <w:color w:val="404040"/>
        </w:rPr>
      </w:pPr>
      <w:r w:rsidRPr="008576D7">
        <w:rPr>
          <w:rFonts w:ascii="Verdana" w:eastAsia="Times New Roman" w:hAnsi="Verdana" w:cs="Times New Roman"/>
          <w:b/>
          <w:bCs/>
          <w:color w:val="404040"/>
        </w:rPr>
        <w:t>Ongoing access-to-documents cases</w:t>
      </w:r>
    </w:p>
    <w:p w14:paraId="10A45A7A" w14:textId="77777777" w:rsidR="008576D7" w:rsidRPr="002C56A4" w:rsidRDefault="008576D7" w:rsidP="008576D7">
      <w:pPr>
        <w:spacing w:before="100" w:beforeAutospacing="1" w:after="100" w:afterAutospacing="1"/>
        <w:rPr>
          <w:rFonts w:ascii="Verdana" w:eastAsia="Times New Roman" w:hAnsi="Verdana" w:cs="Times New Roman"/>
          <w:color w:val="000000"/>
          <w:highlight w:val="yellow"/>
        </w:rPr>
      </w:pPr>
      <w:r w:rsidRPr="002C56A4">
        <w:rPr>
          <w:rFonts w:ascii="Verdana" w:eastAsia="Times New Roman" w:hAnsi="Verdana" w:cs="Times New Roman"/>
          <w:color w:val="000000"/>
          <w:highlight w:val="yellow"/>
        </w:rPr>
        <w:t>The Board took note of the recent opinions of Advocate General Hogan in the context of two ongoing access-to-documents cases that are currently pending before the Court of Justice. If the Court of Justice were to follow the recommendations set out in these opinions, EMA’s existing transparency policies would be impaired and have to be revised.</w:t>
      </w:r>
    </w:p>
    <w:p w14:paraId="0C2FBFA2" w14:textId="77777777" w:rsidR="008576D7" w:rsidRPr="008576D7" w:rsidRDefault="008576D7" w:rsidP="008576D7">
      <w:pPr>
        <w:spacing w:beforeAutospacing="1" w:afterAutospacing="1"/>
        <w:rPr>
          <w:rFonts w:ascii="Verdana" w:eastAsia="Times New Roman" w:hAnsi="Verdana" w:cs="Times New Roman"/>
          <w:color w:val="000000"/>
        </w:rPr>
      </w:pPr>
      <w:r w:rsidRPr="002C56A4">
        <w:rPr>
          <w:rFonts w:ascii="Verdana" w:eastAsia="Times New Roman" w:hAnsi="Verdana" w:cs="Times New Roman"/>
          <w:color w:val="000000"/>
          <w:highlight w:val="yellow"/>
        </w:rPr>
        <w:t>Whilst waiting for the decisions of the Court of Justice, EMA Management Board members reiterate that making available to the public most data submitted to the Agency for the purpose of </w:t>
      </w:r>
      <w:hyperlink r:id="rId19" w:tgtFrame="_blank" w:tooltip="The approval to market a medicine in one, several or all European Union Member States." w:history="1">
        <w:r w:rsidRPr="002C56A4">
          <w:rPr>
            <w:rFonts w:ascii="Verdana" w:eastAsia="Times New Roman" w:hAnsi="Verdana" w:cs="Times New Roman"/>
            <w:color w:val="000000"/>
            <w:highlight w:val="yellow"/>
          </w:rPr>
          <w:t xml:space="preserve">marketing </w:t>
        </w:r>
        <w:proofErr w:type="spellStart"/>
        <w:r w:rsidRPr="002C56A4">
          <w:rPr>
            <w:rFonts w:ascii="Verdana" w:eastAsia="Times New Roman" w:hAnsi="Verdana" w:cs="Times New Roman"/>
            <w:color w:val="000000"/>
            <w:highlight w:val="yellow"/>
          </w:rPr>
          <w:t>authorisations</w:t>
        </w:r>
      </w:hyperlink>
      <w:r w:rsidRPr="002C56A4">
        <w:rPr>
          <w:rFonts w:ascii="Verdana" w:eastAsia="Times New Roman" w:hAnsi="Verdana" w:cs="Times New Roman"/>
          <w:color w:val="000000"/>
          <w:highlight w:val="yellow"/>
        </w:rPr>
        <w:t>and</w:t>
      </w:r>
      <w:proofErr w:type="spellEnd"/>
      <w:r w:rsidRPr="002C56A4">
        <w:rPr>
          <w:rFonts w:ascii="Verdana" w:eastAsia="Times New Roman" w:hAnsi="Verdana" w:cs="Times New Roman"/>
          <w:color w:val="000000"/>
          <w:highlight w:val="yellow"/>
        </w:rPr>
        <w:t> </w:t>
      </w:r>
      <w:hyperlink r:id="rId20" w:tgtFrame="_blank" w:tooltip="A change to the terms of a marketing authorisation. &#13; &#13; More information can be found under 'Variations'." w:history="1">
        <w:r w:rsidRPr="002C56A4">
          <w:rPr>
            <w:rFonts w:ascii="Verdana" w:eastAsia="Times New Roman" w:hAnsi="Verdana" w:cs="Times New Roman"/>
            <w:color w:val="000000"/>
            <w:highlight w:val="yellow"/>
          </w:rPr>
          <w:t>variations</w:t>
        </w:r>
      </w:hyperlink>
      <w:r w:rsidRPr="002C56A4">
        <w:rPr>
          <w:rFonts w:ascii="Verdana" w:eastAsia="Times New Roman" w:hAnsi="Verdana" w:cs="Times New Roman"/>
          <w:color w:val="000000"/>
          <w:highlight w:val="yellow"/>
        </w:rPr>
        <w:t>, generates trust in the EU regulatory network, broadens the scientific knowledge base, fosters the development of medicines and ultimately benefits public health.</w:t>
      </w:r>
      <w:bookmarkStart w:id="0" w:name="_GoBack"/>
      <w:bookmarkEnd w:id="0"/>
    </w:p>
    <w:p w14:paraId="0FC6A49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34"/>
    <w:rsid w:val="000C4028"/>
    <w:rsid w:val="002C56A4"/>
    <w:rsid w:val="002E6A0F"/>
    <w:rsid w:val="00453EED"/>
    <w:rsid w:val="008576D7"/>
    <w:rsid w:val="009F2C34"/>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E6E74"/>
  <w14:defaultImageDpi w14:val="32767"/>
  <w15:chartTrackingRefBased/>
  <w15:docId w15:val="{21465058-DAD3-4A49-8CEE-E9C57262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576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576D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6D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576D7"/>
    <w:rPr>
      <w:rFonts w:ascii="Times New Roman" w:eastAsia="Times New Roman" w:hAnsi="Times New Roman" w:cs="Times New Roman"/>
      <w:b/>
      <w:bCs/>
    </w:rPr>
  </w:style>
  <w:style w:type="character" w:customStyle="1" w:styleId="date-display-single">
    <w:name w:val="date-display-single"/>
    <w:basedOn w:val="DefaultParagraphFont"/>
    <w:rsid w:val="008576D7"/>
  </w:style>
  <w:style w:type="paragraph" w:styleId="NormalWeb">
    <w:name w:val="Normal (Web)"/>
    <w:basedOn w:val="Normal"/>
    <w:uiPriority w:val="99"/>
    <w:semiHidden/>
    <w:unhideWhenUsed/>
    <w:rsid w:val="008576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576D7"/>
  </w:style>
  <w:style w:type="character" w:styleId="Hyperlink">
    <w:name w:val="Hyperlink"/>
    <w:basedOn w:val="DefaultParagraphFont"/>
    <w:uiPriority w:val="99"/>
    <w:semiHidden/>
    <w:unhideWhenUsed/>
    <w:rsid w:val="008576D7"/>
    <w:rPr>
      <w:color w:val="0000FF"/>
      <w:u w:val="single"/>
    </w:rPr>
  </w:style>
  <w:style w:type="character" w:styleId="Strong">
    <w:name w:val="Strong"/>
    <w:basedOn w:val="DefaultParagraphFont"/>
    <w:uiPriority w:val="22"/>
    <w:qFormat/>
    <w:rsid w:val="00857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2897">
      <w:bodyDiv w:val="1"/>
      <w:marLeft w:val="0"/>
      <w:marRight w:val="0"/>
      <w:marTop w:val="0"/>
      <w:marBottom w:val="0"/>
      <w:divBdr>
        <w:top w:val="none" w:sz="0" w:space="0" w:color="auto"/>
        <w:left w:val="none" w:sz="0" w:space="0" w:color="auto"/>
        <w:bottom w:val="none" w:sz="0" w:space="0" w:color="auto"/>
        <w:right w:val="none" w:sz="0" w:space="0" w:color="auto"/>
      </w:divBdr>
      <w:divsChild>
        <w:div w:id="1643118834">
          <w:marLeft w:val="0"/>
          <w:marRight w:val="0"/>
          <w:marTop w:val="0"/>
          <w:marBottom w:val="0"/>
          <w:divBdr>
            <w:top w:val="none" w:sz="0" w:space="0" w:color="auto"/>
            <w:left w:val="none" w:sz="0" w:space="0" w:color="auto"/>
            <w:bottom w:val="none" w:sz="0" w:space="0" w:color="auto"/>
            <w:right w:val="none" w:sz="0" w:space="0" w:color="auto"/>
          </w:divBdr>
          <w:divsChild>
            <w:div w:id="1555505233">
              <w:marLeft w:val="0"/>
              <w:marRight w:val="0"/>
              <w:marTop w:val="0"/>
              <w:marBottom w:val="0"/>
              <w:divBdr>
                <w:top w:val="none" w:sz="0" w:space="0" w:color="auto"/>
                <w:left w:val="none" w:sz="0" w:space="0" w:color="auto"/>
                <w:bottom w:val="none" w:sz="0" w:space="0" w:color="auto"/>
                <w:right w:val="none" w:sz="0" w:space="0" w:color="auto"/>
              </w:divBdr>
            </w:div>
          </w:divsChild>
        </w:div>
        <w:div w:id="1364553118">
          <w:marLeft w:val="0"/>
          <w:marRight w:val="0"/>
          <w:marTop w:val="0"/>
          <w:marBottom w:val="0"/>
          <w:divBdr>
            <w:top w:val="none" w:sz="0" w:space="0" w:color="auto"/>
            <w:left w:val="none" w:sz="0" w:space="0" w:color="auto"/>
            <w:bottom w:val="none" w:sz="0" w:space="0" w:color="auto"/>
            <w:right w:val="none" w:sz="0" w:space="0" w:color="auto"/>
          </w:divBdr>
        </w:div>
        <w:div w:id="567616308">
          <w:marLeft w:val="0"/>
          <w:marRight w:val="0"/>
          <w:marTop w:val="0"/>
          <w:marBottom w:val="0"/>
          <w:divBdr>
            <w:top w:val="none" w:sz="0" w:space="0" w:color="auto"/>
            <w:left w:val="none" w:sz="0" w:space="0" w:color="auto"/>
            <w:bottom w:val="none" w:sz="0" w:space="0" w:color="auto"/>
            <w:right w:val="none" w:sz="0" w:space="0" w:color="auto"/>
          </w:divBdr>
          <w:divsChild>
            <w:div w:id="598223619">
              <w:marLeft w:val="0"/>
              <w:marRight w:val="0"/>
              <w:marTop w:val="0"/>
              <w:marBottom w:val="0"/>
              <w:divBdr>
                <w:top w:val="none" w:sz="0" w:space="0" w:color="auto"/>
                <w:left w:val="none" w:sz="0" w:space="0" w:color="auto"/>
                <w:bottom w:val="none" w:sz="0" w:space="0" w:color="auto"/>
                <w:right w:val="none" w:sz="0" w:space="0" w:color="auto"/>
              </w:divBdr>
              <w:divsChild>
                <w:div w:id="1160072518">
                  <w:marLeft w:val="0"/>
                  <w:marRight w:val="0"/>
                  <w:marTop w:val="0"/>
                  <w:marBottom w:val="0"/>
                  <w:divBdr>
                    <w:top w:val="none" w:sz="0" w:space="0" w:color="auto"/>
                    <w:left w:val="none" w:sz="0" w:space="0" w:color="auto"/>
                    <w:bottom w:val="none" w:sz="0" w:space="0" w:color="auto"/>
                    <w:right w:val="none" w:sz="0" w:space="0" w:color="auto"/>
                  </w:divBdr>
                  <w:divsChild>
                    <w:div w:id="526797214">
                      <w:marLeft w:val="0"/>
                      <w:marRight w:val="0"/>
                      <w:marTop w:val="0"/>
                      <w:marBottom w:val="0"/>
                      <w:divBdr>
                        <w:top w:val="none" w:sz="0" w:space="0" w:color="auto"/>
                        <w:left w:val="none" w:sz="0" w:space="0" w:color="auto"/>
                        <w:bottom w:val="none" w:sz="0" w:space="0" w:color="auto"/>
                        <w:right w:val="none" w:sz="0" w:space="0" w:color="auto"/>
                      </w:divBdr>
                      <w:divsChild>
                        <w:div w:id="1595017574">
                          <w:marLeft w:val="0"/>
                          <w:marRight w:val="0"/>
                          <w:marTop w:val="0"/>
                          <w:marBottom w:val="0"/>
                          <w:divBdr>
                            <w:top w:val="none" w:sz="0" w:space="0" w:color="auto"/>
                            <w:left w:val="none" w:sz="0" w:space="0" w:color="auto"/>
                            <w:bottom w:val="none" w:sz="0" w:space="0" w:color="auto"/>
                            <w:right w:val="none" w:sz="0" w:space="0" w:color="auto"/>
                          </w:divBdr>
                          <w:divsChild>
                            <w:div w:id="1645961879">
                              <w:marLeft w:val="0"/>
                              <w:marRight w:val="0"/>
                              <w:marTop w:val="0"/>
                              <w:marBottom w:val="0"/>
                              <w:divBdr>
                                <w:top w:val="none" w:sz="0" w:space="0" w:color="auto"/>
                                <w:left w:val="none" w:sz="0" w:space="0" w:color="auto"/>
                                <w:bottom w:val="none" w:sz="0" w:space="0" w:color="auto"/>
                                <w:right w:val="none" w:sz="0" w:space="0" w:color="auto"/>
                              </w:divBdr>
                              <w:divsChild>
                                <w:div w:id="1007052403">
                                  <w:marLeft w:val="0"/>
                                  <w:marRight w:val="0"/>
                                  <w:marTop w:val="0"/>
                                  <w:marBottom w:val="0"/>
                                  <w:divBdr>
                                    <w:top w:val="none" w:sz="0" w:space="0" w:color="auto"/>
                                    <w:left w:val="none" w:sz="0" w:space="0" w:color="auto"/>
                                    <w:bottom w:val="none" w:sz="0" w:space="0" w:color="auto"/>
                                    <w:right w:val="none" w:sz="0" w:space="0" w:color="auto"/>
                                  </w:divBdr>
                                  <w:divsChild>
                                    <w:div w:id="2121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ha.org/" TargetMode="External"/><Relationship Id="rId13" Type="http://schemas.openxmlformats.org/officeDocument/2006/relationships/hyperlink" Target="https://www.ema.europa.eu/en/glossary/clinical-trial" TargetMode="External"/><Relationship Id="rId18" Type="http://schemas.openxmlformats.org/officeDocument/2006/relationships/hyperlink" Target="https://www.ema.europa.eu/en/glossary/clinical-tria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eu-patient.eu/" TargetMode="External"/><Relationship Id="rId12" Type="http://schemas.openxmlformats.org/officeDocument/2006/relationships/hyperlink" Target="https://www.ema.europa.eu/en/about-us/who-we-are/executive-director" TargetMode="External"/><Relationship Id="rId17" Type="http://schemas.openxmlformats.org/officeDocument/2006/relationships/hyperlink" Target="https://www.ema.europa.eu/en/glossary/clinical-trial" TargetMode="External"/><Relationship Id="rId2" Type="http://schemas.openxmlformats.org/officeDocument/2006/relationships/settings" Target="settings.xml"/><Relationship Id="rId16" Type="http://schemas.openxmlformats.org/officeDocument/2006/relationships/hyperlink" Target="https://www.ema.europa.eu/en/glossary/marketing-authorisation-application" TargetMode="External"/><Relationship Id="rId20" Type="http://schemas.openxmlformats.org/officeDocument/2006/relationships/hyperlink" Target="https://www.ema.europa.eu/en/glossary/variation" TargetMode="External"/><Relationship Id="rId1" Type="http://schemas.openxmlformats.org/officeDocument/2006/relationships/styles" Target="styles.xml"/><Relationship Id="rId6" Type="http://schemas.openxmlformats.org/officeDocument/2006/relationships/hyperlink" Target="https://www.hpra.ie/" TargetMode="External"/><Relationship Id="rId11" Type="http://schemas.openxmlformats.org/officeDocument/2006/relationships/hyperlink" Target="https://www.ema.europa.eu/en/human-regulatory/overview/medical-devices" TargetMode="External"/><Relationship Id="rId5" Type="http://schemas.openxmlformats.org/officeDocument/2006/relationships/hyperlink" Target="https://www.ema.europa.eu/en/about-us/who-we-are/management-board" TargetMode="External"/><Relationship Id="rId15" Type="http://schemas.openxmlformats.org/officeDocument/2006/relationships/hyperlink" Target="https://www.ema.europa.eu/en/glossary/scientific-advice" TargetMode="External"/><Relationship Id="rId10" Type="http://schemas.openxmlformats.org/officeDocument/2006/relationships/hyperlink" Target="https://www.ema.europa.eu/en/veterinary-regulatory/overview/implementation-new-veterinary-medicines-regulation" TargetMode="External"/><Relationship Id="rId19" Type="http://schemas.openxmlformats.org/officeDocument/2006/relationships/hyperlink" Target="https://www.ema.europa.eu/en/glossary/marketing-authorisation" TargetMode="External"/><Relationship Id="rId4" Type="http://schemas.openxmlformats.org/officeDocument/2006/relationships/hyperlink" Target="https://www.ema.europa.eu/en/events/management-board-meeting-3-october-2019" TargetMode="External"/><Relationship Id="rId9" Type="http://schemas.openxmlformats.org/officeDocument/2006/relationships/hyperlink" Target="https://www.ema.europa.eu/en/about-us/brexit-united-kingdoms-withdrawal-european-union" TargetMode="External"/><Relationship Id="rId14" Type="http://schemas.openxmlformats.org/officeDocument/2006/relationships/hyperlink" Target="https://www.ema.europa.eu/en/committees-working-parties-other-grou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2020-02-18T10:46:00Z</dcterms:created>
  <dcterms:modified xsi:type="dcterms:W3CDTF">2020-05-11T11:08:00Z</dcterms:modified>
</cp:coreProperties>
</file>