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4C9A4" w14:textId="77777777" w:rsidR="00D54070" w:rsidRPr="00D54070" w:rsidRDefault="00D54070" w:rsidP="00D54070">
      <w:pPr>
        <w:outlineLvl w:val="0"/>
        <w:rPr>
          <w:rFonts w:ascii="Verdana" w:eastAsia="Times New Roman" w:hAnsi="Verdana" w:cs="Times New Roman"/>
          <w:color w:val="000000"/>
          <w:kern w:val="36"/>
          <w:sz w:val="48"/>
          <w:szCs w:val="48"/>
        </w:rPr>
      </w:pPr>
      <w:r w:rsidRPr="00D54070">
        <w:rPr>
          <w:rFonts w:ascii="Verdana" w:eastAsia="Times New Roman" w:hAnsi="Verdana" w:cs="Times New Roman"/>
          <w:color w:val="000000"/>
          <w:kern w:val="36"/>
          <w:sz w:val="48"/>
          <w:szCs w:val="48"/>
        </w:rPr>
        <w:t>Meeting highlights from the Pharmacovigilance Risk Assessment Committee (PRAC) 14-17 January 2019</w:t>
      </w:r>
    </w:p>
    <w:p w14:paraId="58085F3C" w14:textId="77777777" w:rsidR="00D54070" w:rsidRPr="00D54070" w:rsidRDefault="00D54070" w:rsidP="00D54070">
      <w:pPr>
        <w:rPr>
          <w:rFonts w:ascii="Times New Roman" w:eastAsia="Times New Roman" w:hAnsi="Times New Roman" w:cs="Times New Roman"/>
        </w:rPr>
      </w:pPr>
      <w:r w:rsidRPr="00D54070">
        <w:rPr>
          <w:rFonts w:ascii="Verdana" w:eastAsia="Times New Roman" w:hAnsi="Verdana" w:cs="Times New Roman"/>
          <w:color w:val="000000"/>
        </w:rPr>
        <w:t> </w:t>
      </w:r>
    </w:p>
    <w:p w14:paraId="543A65A6" w14:textId="77777777" w:rsidR="00D54070" w:rsidRPr="00D54070" w:rsidRDefault="00D54070" w:rsidP="00D54070">
      <w:pPr>
        <w:rPr>
          <w:rFonts w:ascii="Verdana" w:eastAsia="Times New Roman" w:hAnsi="Verdana" w:cs="Times New Roman"/>
          <w:color w:val="000000"/>
        </w:rPr>
      </w:pPr>
      <w:r w:rsidRPr="00D54070">
        <w:rPr>
          <w:rFonts w:ascii="Verdana" w:eastAsia="Times New Roman" w:hAnsi="Verdana" w:cs="Times New Roman"/>
          <w:color w:val="000000"/>
        </w:rPr>
        <w:t>Share</w:t>
      </w:r>
    </w:p>
    <w:p w14:paraId="5F5A7DE0" w14:textId="77777777" w:rsidR="00D54070" w:rsidRPr="00D54070" w:rsidRDefault="00D54070" w:rsidP="00D54070">
      <w:pPr>
        <w:rPr>
          <w:rFonts w:ascii="Verdana" w:eastAsia="Times New Roman" w:hAnsi="Verdana" w:cs="Times New Roman"/>
          <w:color w:val="000000"/>
        </w:rPr>
      </w:pPr>
      <w:r w:rsidRPr="00D54070">
        <w:rPr>
          <w:rFonts w:ascii="Verdana" w:eastAsia="Times New Roman" w:hAnsi="Verdana" w:cs="Times New Roman"/>
          <w:color w:val="000000"/>
        </w:rPr>
        <w:t>News 18/01/2019</w:t>
      </w:r>
    </w:p>
    <w:p w14:paraId="2D9BDBC9" w14:textId="77777777" w:rsidR="00D54070" w:rsidRPr="001D04AA" w:rsidRDefault="00D54070" w:rsidP="00D54070">
      <w:pPr>
        <w:spacing w:beforeAutospacing="1" w:afterAutospacing="1"/>
        <w:rPr>
          <w:rFonts w:ascii="Verdana" w:eastAsia="Times New Roman" w:hAnsi="Verdana" w:cs="Times New Roman"/>
          <w:color w:val="000000"/>
          <w:highlight w:val="yellow"/>
        </w:rPr>
      </w:pPr>
      <w:bookmarkStart w:id="0" w:name="_GoBack"/>
      <w:bookmarkEnd w:id="0"/>
      <w:r w:rsidRPr="001D04AA">
        <w:rPr>
          <w:rFonts w:ascii="Verdana" w:eastAsia="Times New Roman" w:hAnsi="Verdana" w:cs="Times New Roman"/>
          <w:color w:val="000000"/>
          <w:highlight w:val="yellow"/>
        </w:rPr>
        <w:t>At its monthly meeting, EMA’s safety committee (</w:t>
      </w:r>
      <w:hyperlink r:id="rId4"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1D04AA">
          <w:rPr>
            <w:rFonts w:ascii="Verdana" w:eastAsia="Times New Roman" w:hAnsi="Verdana" w:cs="Times New Roman"/>
            <w:color w:val="000000"/>
            <w:highlight w:val="yellow"/>
            <w:u w:val="single"/>
          </w:rPr>
          <w:t>PRAC</w:t>
        </w:r>
      </w:hyperlink>
      <w:r w:rsidRPr="001D04AA">
        <w:rPr>
          <w:rFonts w:ascii="Verdana" w:eastAsia="Times New Roman" w:hAnsi="Verdana" w:cs="Times New Roman"/>
          <w:color w:val="000000"/>
          <w:highlight w:val="yellow"/>
        </w:rPr>
        <w:t>) carried out its broad range of responsibilities, which cover all aspects of the risk management of the use of medicines: assessment of </w:t>
      </w:r>
      <w:hyperlink r:id="rId5" w:tgtFrame="_blank" w:tooltip="Information on a new or known adverse event that is potentially caused by a medicine and that warrants further investigation. Signals are generated from several sources such as spontaneous reports, clinical studies and the scientific literature. &#13; &#13; More information can be found under 'Signal management'." w:history="1">
        <w:r w:rsidRPr="001D04AA">
          <w:rPr>
            <w:rFonts w:ascii="Verdana" w:eastAsia="Times New Roman" w:hAnsi="Verdana" w:cs="Times New Roman"/>
            <w:color w:val="000000"/>
            <w:highlight w:val="yellow"/>
            <w:u w:val="single"/>
          </w:rPr>
          <w:t>safety signals</w:t>
        </w:r>
      </w:hyperlink>
      <w:r w:rsidRPr="001D04AA">
        <w:rPr>
          <w:rFonts w:ascii="Verdana" w:eastAsia="Times New Roman" w:hAnsi="Verdana" w:cs="Times New Roman"/>
          <w:color w:val="000000"/>
          <w:highlight w:val="yellow"/>
        </w:rPr>
        <w:t>, </w:t>
      </w:r>
      <w:hyperlink r:id="rId6" w:tgtFrame="_blank" w:tooltip="A detailed description of the activities and interventions designed to identify, characterise, prevent or minimise risks relating to medicines." w:history="1">
        <w:r w:rsidRPr="001D04AA">
          <w:rPr>
            <w:rFonts w:ascii="Verdana" w:eastAsia="Times New Roman" w:hAnsi="Verdana" w:cs="Times New Roman"/>
            <w:color w:val="000000"/>
            <w:highlight w:val="yellow"/>
            <w:u w:val="single"/>
          </w:rPr>
          <w:t>risk management plans</w:t>
        </w:r>
      </w:hyperlink>
      <w:r w:rsidRPr="001D04AA">
        <w:rPr>
          <w:rFonts w:ascii="Verdana" w:eastAsia="Times New Roman" w:hAnsi="Verdana" w:cs="Times New Roman"/>
          <w:color w:val="000000"/>
          <w:highlight w:val="yellow"/>
        </w:rPr>
        <w:t>, </w:t>
      </w:r>
      <w:hyperlink r:id="rId7" w:tgtFrame="_blank" w:tooltip="A report prepared by the marketing-authorisation holder describing the worldwide safety experience with a medicine at a defined time after its authorisation. Abbreviated as PSUR. &#13; &#13; More information can be found under 'Periodic safety update reports -  questions and answers'." w:history="1">
        <w:r w:rsidRPr="001D04AA">
          <w:rPr>
            <w:rFonts w:ascii="Verdana" w:eastAsia="Times New Roman" w:hAnsi="Verdana" w:cs="Times New Roman"/>
            <w:color w:val="000000"/>
            <w:highlight w:val="yellow"/>
            <w:u w:val="single"/>
          </w:rPr>
          <w:t>periodic safety update reports</w:t>
        </w:r>
      </w:hyperlink>
      <w:r w:rsidRPr="001D04AA">
        <w:rPr>
          <w:rFonts w:ascii="Verdana" w:eastAsia="Times New Roman" w:hAnsi="Verdana" w:cs="Times New Roman"/>
          <w:color w:val="000000"/>
          <w:highlight w:val="yellow"/>
        </w:rPr>
        <w:t> and post-</w:t>
      </w:r>
      <w:proofErr w:type="spellStart"/>
      <w:r w:rsidRPr="001D04AA">
        <w:rPr>
          <w:rFonts w:ascii="Verdana" w:eastAsia="Times New Roman" w:hAnsi="Verdana" w:cs="Times New Roman"/>
          <w:color w:val="000000"/>
          <w:highlight w:val="yellow"/>
        </w:rPr>
        <w:t>authorisation</w:t>
      </w:r>
      <w:proofErr w:type="spellEnd"/>
      <w:r w:rsidRPr="001D04AA">
        <w:rPr>
          <w:rFonts w:ascii="Verdana" w:eastAsia="Times New Roman" w:hAnsi="Verdana" w:cs="Times New Roman"/>
          <w:color w:val="000000"/>
          <w:highlight w:val="yellow"/>
        </w:rPr>
        <w:t xml:space="preserve"> safety studies.</w:t>
      </w:r>
    </w:p>
    <w:p w14:paraId="4F4B6697" w14:textId="77777777" w:rsidR="00D54070" w:rsidRPr="001D04AA" w:rsidRDefault="00D54070" w:rsidP="00D54070">
      <w:pPr>
        <w:spacing w:beforeAutospacing="1" w:afterAutospacing="1"/>
        <w:rPr>
          <w:rFonts w:ascii="Verdana" w:eastAsia="Times New Roman" w:hAnsi="Verdana" w:cs="Times New Roman"/>
          <w:color w:val="000000"/>
          <w:highlight w:val="yellow"/>
        </w:rPr>
      </w:pPr>
      <w:r w:rsidRPr="001D04AA">
        <w:rPr>
          <w:rFonts w:ascii="Verdana" w:eastAsia="Times New Roman" w:hAnsi="Verdana" w:cs="Times New Roman"/>
          <w:color w:val="000000"/>
          <w:highlight w:val="yellow"/>
        </w:rPr>
        <w:t>The Committee did not start or conclude any </w:t>
      </w:r>
      <w:hyperlink r:id="rId8" w:tgtFrame="_blank" w:tooltip="An evaluation conducted by a European Medicines Agency committee following a referral from the European Commission or a Member State. Referrals are used to address particular issues, such as safety concerns, to resolve disagreements between Member States on issues related to the authorisation of medicines or to give an opinion on an issue of Europe-wide interest. &#13; &#13; More information can be found under referral procedures (human) and referral procedures (veterinary)." w:history="1">
        <w:r w:rsidRPr="001D04AA">
          <w:rPr>
            <w:rFonts w:ascii="Verdana" w:eastAsia="Times New Roman" w:hAnsi="Verdana" w:cs="Times New Roman"/>
            <w:color w:val="000000"/>
            <w:highlight w:val="yellow"/>
            <w:u w:val="single"/>
          </w:rPr>
          <w:t>referral</w:t>
        </w:r>
      </w:hyperlink>
      <w:r w:rsidRPr="001D04AA">
        <w:rPr>
          <w:rFonts w:ascii="Verdana" w:eastAsia="Times New Roman" w:hAnsi="Verdana" w:cs="Times New Roman"/>
          <w:color w:val="000000"/>
          <w:highlight w:val="yellow"/>
        </w:rPr>
        <w:t> procedures. More information on all safety reviews currently under evaluation is provided in the ‘Ongoing </w:t>
      </w:r>
      <w:hyperlink r:id="rId9" w:tgtFrame="_blank" w:tooltip="An evaluation conducted by a European Medicines Agency committee following a referral from the European Commission or a Member State. Referrals are used to address particular issues, such as safety concerns, to resolve disagreements between Member States on issues related to the authorisation of medicines or to give an opinion on an issue of Europe-wide interest. &#13; &#13; More information can be found under referral procedures (human) and referral procedures (veterinary)." w:history="1">
        <w:r w:rsidRPr="001D04AA">
          <w:rPr>
            <w:rFonts w:ascii="Verdana" w:eastAsia="Times New Roman" w:hAnsi="Verdana" w:cs="Times New Roman"/>
            <w:color w:val="000000"/>
            <w:highlight w:val="yellow"/>
            <w:u w:val="single"/>
          </w:rPr>
          <w:t>referrals</w:t>
        </w:r>
      </w:hyperlink>
      <w:r w:rsidRPr="001D04AA">
        <w:rPr>
          <w:rFonts w:ascii="Verdana" w:eastAsia="Times New Roman" w:hAnsi="Verdana" w:cs="Times New Roman"/>
          <w:color w:val="000000"/>
          <w:highlight w:val="yellow"/>
        </w:rPr>
        <w:t>’ table.</w:t>
      </w:r>
    </w:p>
    <w:p w14:paraId="1AAB8E04" w14:textId="77777777" w:rsidR="00D54070" w:rsidRPr="00D54070" w:rsidRDefault="00D54070" w:rsidP="00D54070">
      <w:pPr>
        <w:spacing w:beforeAutospacing="1" w:afterAutospacing="1"/>
        <w:rPr>
          <w:rFonts w:ascii="Verdana" w:eastAsia="Times New Roman" w:hAnsi="Verdana" w:cs="Times New Roman"/>
          <w:color w:val="000000"/>
        </w:rPr>
      </w:pPr>
      <w:r w:rsidRPr="001D04AA">
        <w:rPr>
          <w:rFonts w:ascii="Verdana" w:eastAsia="Times New Roman" w:hAnsi="Verdana" w:cs="Times New Roman"/>
          <w:color w:val="000000"/>
          <w:highlight w:val="yellow"/>
        </w:rPr>
        <w:t>Information on all topics discussed by the </w:t>
      </w:r>
      <w:hyperlink r:id="rId10"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1D04AA">
          <w:rPr>
            <w:rFonts w:ascii="Verdana" w:eastAsia="Times New Roman" w:hAnsi="Verdana" w:cs="Times New Roman"/>
            <w:color w:val="000000"/>
            <w:highlight w:val="yellow"/>
            <w:u w:val="single"/>
          </w:rPr>
          <w:t>PRAC</w:t>
        </w:r>
      </w:hyperlink>
      <w:r w:rsidRPr="001D04AA">
        <w:rPr>
          <w:rFonts w:ascii="Verdana" w:eastAsia="Times New Roman" w:hAnsi="Verdana" w:cs="Times New Roman"/>
          <w:color w:val="000000"/>
          <w:highlight w:val="yellow"/>
        </w:rPr>
        <w:t> is available in the agenda below. A record of the discussions held this week will be provided in the minutes of this meeting, which will be published following the next </w:t>
      </w:r>
      <w:proofErr w:type="spellStart"/>
      <w:r w:rsidR="001D04AA" w:rsidRPr="001D04AA">
        <w:rPr>
          <w:rFonts w:ascii="Verdana" w:eastAsia="Times New Roman" w:hAnsi="Verdana" w:cs="Times New Roman"/>
          <w:color w:val="000000"/>
          <w:highlight w:val="yellow"/>
          <w:u w:val="single"/>
        </w:rPr>
        <w:fldChar w:fldCharType="begin"/>
      </w:r>
      <w:r w:rsidR="001D04AA" w:rsidRPr="001D04AA">
        <w:rPr>
          <w:rFonts w:ascii="Verdana" w:eastAsia="Times New Roman" w:hAnsi="Verdana" w:cs="Times New Roman"/>
          <w:color w:val="000000"/>
          <w:highlight w:val="yellow"/>
          <w:u w:val="single"/>
        </w:rPr>
        <w:instrText xml:space="preserve"> HYPERLINK "https://www.ema.europa.eu/en/glossary/prac" \t "_blank" \o "Pharmacovigilance Risk Assessment Committee -  the committee that is responsible for assessing all as</w:instrText>
      </w:r>
      <w:r w:rsidR="001D04AA" w:rsidRPr="001D04AA">
        <w:rPr>
          <w:rFonts w:ascii="Verdana" w:eastAsia="Times New Roman" w:hAnsi="Verdana" w:cs="Times New Roman"/>
          <w:color w:val="000000"/>
          <w:highlight w:val="yellow"/>
          <w:u w:val="single"/>
        </w:rPr>
        <w:instrText>pects of the risk management of medicines for human use. </w:instrText>
      </w:r>
      <w:r w:rsidR="001D04AA" w:rsidRPr="001D04AA">
        <w:rPr>
          <w:rFonts w:ascii="Verdana" w:eastAsia="Times New Roman" w:hAnsi="Verdana" w:cs="Times New Roman"/>
          <w:color w:val="000000"/>
          <w:highlight w:val="yellow"/>
          <w:u w:val="single"/>
        </w:rPr>
        <w:cr/>
        <w:instrText xml:space="preserve"> </w:instrText>
      </w:r>
      <w:r w:rsidR="001D04AA" w:rsidRPr="001D04AA">
        <w:rPr>
          <w:rFonts w:ascii="Verdana" w:eastAsia="Times New Roman" w:hAnsi="Verdana" w:cs="Times New Roman"/>
          <w:color w:val="000000"/>
          <w:highlight w:val="yellow"/>
          <w:u w:val="single"/>
        </w:rPr>
        <w:cr/>
        <w:instrText xml:space="preserve"> More information can be found under 'Pharmacovigilance Risk Assessment Committee (PRAC)'." </w:instrText>
      </w:r>
      <w:r w:rsidR="001D04AA" w:rsidRPr="001D04AA">
        <w:rPr>
          <w:rFonts w:ascii="Verdana" w:eastAsia="Times New Roman" w:hAnsi="Verdana" w:cs="Times New Roman"/>
          <w:color w:val="000000"/>
          <w:highlight w:val="yellow"/>
          <w:u w:val="single"/>
        </w:rPr>
        <w:fldChar w:fldCharType="separate"/>
      </w:r>
      <w:r w:rsidRPr="001D04AA">
        <w:rPr>
          <w:rFonts w:ascii="Verdana" w:eastAsia="Times New Roman" w:hAnsi="Verdana" w:cs="Times New Roman"/>
          <w:color w:val="000000"/>
          <w:highlight w:val="yellow"/>
          <w:u w:val="single"/>
        </w:rPr>
        <w:t>PRAC</w:t>
      </w:r>
      <w:r w:rsidR="001D04AA" w:rsidRPr="001D04AA">
        <w:rPr>
          <w:rFonts w:ascii="Verdana" w:eastAsia="Times New Roman" w:hAnsi="Verdana" w:cs="Times New Roman"/>
          <w:color w:val="000000"/>
          <w:highlight w:val="yellow"/>
          <w:u w:val="single"/>
        </w:rPr>
        <w:fldChar w:fldCharType="end"/>
      </w:r>
      <w:r w:rsidRPr="001D04AA">
        <w:rPr>
          <w:rFonts w:ascii="Verdana" w:eastAsia="Times New Roman" w:hAnsi="Verdana" w:cs="Times New Roman"/>
          <w:color w:val="000000"/>
          <w:highlight w:val="yellow"/>
        </w:rPr>
        <w:t>meeting</w:t>
      </w:r>
      <w:proofErr w:type="spellEnd"/>
      <w:r w:rsidRPr="001D04AA">
        <w:rPr>
          <w:rFonts w:ascii="Verdana" w:eastAsia="Times New Roman" w:hAnsi="Verdana" w:cs="Times New Roman"/>
          <w:color w:val="000000"/>
          <w:highlight w:val="yellow"/>
        </w:rPr>
        <w:t xml:space="preserve"> in February.</w:t>
      </w:r>
    </w:p>
    <w:p w14:paraId="5B1B7FD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22C"/>
    <w:rsid w:val="001D04AA"/>
    <w:rsid w:val="00453EED"/>
    <w:rsid w:val="008A722C"/>
    <w:rsid w:val="00BE080D"/>
    <w:rsid w:val="00D54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F4B8C"/>
  <w14:defaultImageDpi w14:val="32767"/>
  <w15:chartTrackingRefBased/>
  <w15:docId w15:val="{60153A12-ABE4-214E-AEDE-C896D12F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5407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07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54070"/>
  </w:style>
  <w:style w:type="character" w:customStyle="1" w:styleId="date-display-single">
    <w:name w:val="date-display-single"/>
    <w:basedOn w:val="DefaultParagraphFont"/>
    <w:rsid w:val="00D54070"/>
  </w:style>
  <w:style w:type="paragraph" w:styleId="NormalWeb">
    <w:name w:val="Normal (Web)"/>
    <w:basedOn w:val="Normal"/>
    <w:uiPriority w:val="99"/>
    <w:semiHidden/>
    <w:unhideWhenUsed/>
    <w:rsid w:val="00D5407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540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54491">
      <w:bodyDiv w:val="1"/>
      <w:marLeft w:val="0"/>
      <w:marRight w:val="0"/>
      <w:marTop w:val="0"/>
      <w:marBottom w:val="0"/>
      <w:divBdr>
        <w:top w:val="none" w:sz="0" w:space="0" w:color="auto"/>
        <w:left w:val="none" w:sz="0" w:space="0" w:color="auto"/>
        <w:bottom w:val="none" w:sz="0" w:space="0" w:color="auto"/>
        <w:right w:val="none" w:sz="0" w:space="0" w:color="auto"/>
      </w:divBdr>
      <w:divsChild>
        <w:div w:id="1624849426">
          <w:marLeft w:val="0"/>
          <w:marRight w:val="0"/>
          <w:marTop w:val="0"/>
          <w:marBottom w:val="0"/>
          <w:divBdr>
            <w:top w:val="none" w:sz="0" w:space="0" w:color="auto"/>
            <w:left w:val="none" w:sz="0" w:space="0" w:color="auto"/>
            <w:bottom w:val="none" w:sz="0" w:space="0" w:color="auto"/>
            <w:right w:val="none" w:sz="0" w:space="0" w:color="auto"/>
          </w:divBdr>
          <w:divsChild>
            <w:div w:id="1089423895">
              <w:marLeft w:val="0"/>
              <w:marRight w:val="0"/>
              <w:marTop w:val="0"/>
              <w:marBottom w:val="0"/>
              <w:divBdr>
                <w:top w:val="none" w:sz="0" w:space="0" w:color="auto"/>
                <w:left w:val="none" w:sz="0" w:space="0" w:color="auto"/>
                <w:bottom w:val="none" w:sz="0" w:space="0" w:color="auto"/>
                <w:right w:val="none" w:sz="0" w:space="0" w:color="auto"/>
              </w:divBdr>
            </w:div>
          </w:divsChild>
        </w:div>
        <w:div w:id="229539770">
          <w:marLeft w:val="0"/>
          <w:marRight w:val="0"/>
          <w:marTop w:val="0"/>
          <w:marBottom w:val="0"/>
          <w:divBdr>
            <w:top w:val="none" w:sz="0" w:space="0" w:color="auto"/>
            <w:left w:val="none" w:sz="0" w:space="0" w:color="auto"/>
            <w:bottom w:val="none" w:sz="0" w:space="0" w:color="auto"/>
            <w:right w:val="none" w:sz="0" w:space="0" w:color="auto"/>
          </w:divBdr>
        </w:div>
        <w:div w:id="39287220">
          <w:marLeft w:val="0"/>
          <w:marRight w:val="0"/>
          <w:marTop w:val="0"/>
          <w:marBottom w:val="0"/>
          <w:divBdr>
            <w:top w:val="none" w:sz="0" w:space="0" w:color="auto"/>
            <w:left w:val="none" w:sz="0" w:space="0" w:color="auto"/>
            <w:bottom w:val="none" w:sz="0" w:space="0" w:color="auto"/>
            <w:right w:val="none" w:sz="0" w:space="0" w:color="auto"/>
          </w:divBdr>
          <w:divsChild>
            <w:div w:id="1809860676">
              <w:marLeft w:val="0"/>
              <w:marRight w:val="0"/>
              <w:marTop w:val="0"/>
              <w:marBottom w:val="0"/>
              <w:divBdr>
                <w:top w:val="none" w:sz="0" w:space="0" w:color="auto"/>
                <w:left w:val="none" w:sz="0" w:space="0" w:color="auto"/>
                <w:bottom w:val="none" w:sz="0" w:space="0" w:color="auto"/>
                <w:right w:val="none" w:sz="0" w:space="0" w:color="auto"/>
              </w:divBdr>
              <w:divsChild>
                <w:div w:id="2018580411">
                  <w:marLeft w:val="0"/>
                  <w:marRight w:val="0"/>
                  <w:marTop w:val="0"/>
                  <w:marBottom w:val="0"/>
                  <w:divBdr>
                    <w:top w:val="none" w:sz="0" w:space="0" w:color="auto"/>
                    <w:left w:val="none" w:sz="0" w:space="0" w:color="auto"/>
                    <w:bottom w:val="none" w:sz="0" w:space="0" w:color="auto"/>
                    <w:right w:val="none" w:sz="0" w:space="0" w:color="auto"/>
                  </w:divBdr>
                  <w:divsChild>
                    <w:div w:id="187723303">
                      <w:marLeft w:val="0"/>
                      <w:marRight w:val="0"/>
                      <w:marTop w:val="0"/>
                      <w:marBottom w:val="0"/>
                      <w:divBdr>
                        <w:top w:val="none" w:sz="0" w:space="0" w:color="auto"/>
                        <w:left w:val="none" w:sz="0" w:space="0" w:color="auto"/>
                        <w:bottom w:val="none" w:sz="0" w:space="0" w:color="auto"/>
                        <w:right w:val="none" w:sz="0" w:space="0" w:color="auto"/>
                      </w:divBdr>
                      <w:divsChild>
                        <w:div w:id="1689483353">
                          <w:marLeft w:val="0"/>
                          <w:marRight w:val="0"/>
                          <w:marTop w:val="0"/>
                          <w:marBottom w:val="0"/>
                          <w:divBdr>
                            <w:top w:val="none" w:sz="0" w:space="0" w:color="auto"/>
                            <w:left w:val="none" w:sz="0" w:space="0" w:color="auto"/>
                            <w:bottom w:val="none" w:sz="0" w:space="0" w:color="auto"/>
                            <w:right w:val="none" w:sz="0" w:space="0" w:color="auto"/>
                          </w:divBdr>
                          <w:divsChild>
                            <w:div w:id="1809395147">
                              <w:marLeft w:val="0"/>
                              <w:marRight w:val="0"/>
                              <w:marTop w:val="0"/>
                              <w:marBottom w:val="0"/>
                              <w:divBdr>
                                <w:top w:val="none" w:sz="0" w:space="0" w:color="auto"/>
                                <w:left w:val="none" w:sz="0" w:space="0" w:color="auto"/>
                                <w:bottom w:val="none" w:sz="0" w:space="0" w:color="auto"/>
                                <w:right w:val="none" w:sz="0" w:space="0" w:color="auto"/>
                              </w:divBdr>
                              <w:divsChild>
                                <w:div w:id="1221742947">
                                  <w:marLeft w:val="0"/>
                                  <w:marRight w:val="0"/>
                                  <w:marTop w:val="0"/>
                                  <w:marBottom w:val="0"/>
                                  <w:divBdr>
                                    <w:top w:val="none" w:sz="0" w:space="0" w:color="auto"/>
                                    <w:left w:val="none" w:sz="0" w:space="0" w:color="auto"/>
                                    <w:bottom w:val="none" w:sz="0" w:space="0" w:color="auto"/>
                                    <w:right w:val="none" w:sz="0" w:space="0" w:color="auto"/>
                                  </w:divBdr>
                                  <w:divsChild>
                                    <w:div w:id="10258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referral" TargetMode="External"/><Relationship Id="rId3" Type="http://schemas.openxmlformats.org/officeDocument/2006/relationships/webSettings" Target="webSettings.xml"/><Relationship Id="rId7" Type="http://schemas.openxmlformats.org/officeDocument/2006/relationships/hyperlink" Target="https://www.ema.europa.eu/en/glossary/periodic-safety-update-repor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a.europa.eu/en/glossary/risk-management-plan" TargetMode="External"/><Relationship Id="rId11" Type="http://schemas.openxmlformats.org/officeDocument/2006/relationships/fontTable" Target="fontTable.xml"/><Relationship Id="rId5" Type="http://schemas.openxmlformats.org/officeDocument/2006/relationships/hyperlink" Target="https://www.ema.europa.eu/en/glossary/safety-signal" TargetMode="External"/><Relationship Id="rId10" Type="http://schemas.openxmlformats.org/officeDocument/2006/relationships/hyperlink" Target="https://www.ema.europa.eu/en/glossary/prac" TargetMode="External"/><Relationship Id="rId4" Type="http://schemas.openxmlformats.org/officeDocument/2006/relationships/hyperlink" Target="https://www.ema.europa.eu/en/glossary/prac" TargetMode="External"/><Relationship Id="rId9" Type="http://schemas.openxmlformats.org/officeDocument/2006/relationships/hyperlink" Target="https://www.ema.europa.eu/en/glossary/refer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2020-02-18T13:58:00Z</dcterms:created>
  <dcterms:modified xsi:type="dcterms:W3CDTF">2020-05-11T11:09:00Z</dcterms:modified>
</cp:coreProperties>
</file>