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8E1C9" w14:textId="77777777" w:rsidR="00860334" w:rsidRPr="00860334" w:rsidRDefault="00860334" w:rsidP="00860334">
      <w:pPr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</w:rPr>
      </w:pPr>
      <w:r w:rsidRPr="00860334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>How to ensure that novel analytic methods are fit for decision-making</w:t>
      </w:r>
    </w:p>
    <w:p w14:paraId="40FAA60D" w14:textId="77777777" w:rsidR="00860334" w:rsidRPr="00860334" w:rsidRDefault="00860334" w:rsidP="00860334">
      <w:pPr>
        <w:rPr>
          <w:rFonts w:ascii="Times New Roman" w:eastAsia="Times New Roman" w:hAnsi="Times New Roman" w:cs="Times New Roman"/>
        </w:rPr>
      </w:pPr>
      <w:r w:rsidRPr="00860334">
        <w:rPr>
          <w:rFonts w:ascii="Verdana" w:eastAsia="Times New Roman" w:hAnsi="Verdana" w:cs="Times New Roman"/>
          <w:color w:val="000000"/>
        </w:rPr>
        <w:t> </w:t>
      </w:r>
    </w:p>
    <w:p w14:paraId="6AC105E1" w14:textId="77777777" w:rsidR="00860334" w:rsidRPr="00860334" w:rsidRDefault="00860334" w:rsidP="00860334">
      <w:pPr>
        <w:rPr>
          <w:rFonts w:ascii="Verdana" w:eastAsia="Times New Roman" w:hAnsi="Verdana" w:cs="Times New Roman"/>
          <w:color w:val="000000"/>
        </w:rPr>
      </w:pPr>
      <w:r w:rsidRPr="00860334">
        <w:rPr>
          <w:rFonts w:ascii="Verdana" w:eastAsia="Times New Roman" w:hAnsi="Verdana" w:cs="Times New Roman"/>
          <w:color w:val="000000"/>
        </w:rPr>
        <w:t>Share</w:t>
      </w:r>
    </w:p>
    <w:p w14:paraId="0A0B7BAF" w14:textId="77777777" w:rsidR="00860334" w:rsidRPr="00860334" w:rsidRDefault="00860334" w:rsidP="00860334">
      <w:pPr>
        <w:rPr>
          <w:rFonts w:ascii="Verdana" w:eastAsia="Times New Roman" w:hAnsi="Verdana" w:cs="Times New Roman"/>
          <w:color w:val="000000"/>
        </w:rPr>
      </w:pPr>
      <w:r w:rsidRPr="00860334">
        <w:rPr>
          <w:rFonts w:ascii="Verdana" w:eastAsia="Times New Roman" w:hAnsi="Verdana" w:cs="Times New Roman"/>
          <w:color w:val="000000"/>
        </w:rPr>
        <w:t>News 02/10/2019</w:t>
      </w:r>
    </w:p>
    <w:p w14:paraId="75948E1C" w14:textId="144D5849" w:rsidR="00860334" w:rsidRPr="005E6D77" w:rsidRDefault="00860334" w:rsidP="00860334">
      <w:pPr>
        <w:spacing w:beforeAutospacing="1" w:afterAutospacing="1"/>
        <w:rPr>
          <w:rFonts w:ascii="Verdana" w:eastAsia="Times New Roman" w:hAnsi="Verdana" w:cs="Times New Roman"/>
          <w:color w:val="000000"/>
          <w:highlight w:val="darkGray"/>
        </w:rPr>
      </w:pPr>
      <w:r w:rsidRPr="005E6D77">
        <w:rPr>
          <w:rFonts w:ascii="Verdana" w:eastAsia="Times New Roman" w:hAnsi="Verdana" w:cs="Times New Roman"/>
          <w:color w:val="000000"/>
          <w:highlight w:val="darkGray"/>
        </w:rPr>
        <w:t xml:space="preserve">The past decade has seen the increased generation and availability of new data sources such as real-world evidence, as well as patient-level data from completed </w:t>
      </w:r>
      <w:proofErr w:type="spellStart"/>
      <w:r w:rsidRPr="005E6D77">
        <w:rPr>
          <w:rFonts w:ascii="Verdana" w:eastAsia="Times New Roman" w:hAnsi="Verdana" w:cs="Times New Roman"/>
          <w:color w:val="000000"/>
          <w:highlight w:val="darkGray"/>
        </w:rPr>
        <w:t>randomised</w:t>
      </w:r>
      <w:proofErr w:type="spellEnd"/>
      <w:r w:rsidRPr="005E6D77">
        <w:rPr>
          <w:rFonts w:ascii="Verdana" w:eastAsia="Times New Roman" w:hAnsi="Verdana" w:cs="Times New Roman"/>
          <w:color w:val="000000"/>
          <w:highlight w:val="darkGray"/>
        </w:rPr>
        <w:t> </w:t>
      </w:r>
      <w:hyperlink r:id="rId4" w:tgtFrame="_blank" w:tooltip="A study performed to investigate the safety or efficacy of a medicine. For human medicines, these studies are carried out in human volunteers." w:history="1">
        <w:r w:rsidRPr="005E6D77">
          <w:rPr>
            <w:rFonts w:ascii="Verdana" w:eastAsia="Times New Roman" w:hAnsi="Verdana" w:cs="Times New Roman"/>
            <w:color w:val="000000"/>
            <w:highlight w:val="darkGray"/>
            <w:u w:val="single"/>
          </w:rPr>
          <w:t>clinical trials</w:t>
        </w:r>
      </w:hyperlink>
      <w:r w:rsidRPr="005E6D77">
        <w:rPr>
          <w:rFonts w:ascii="Verdana" w:eastAsia="Times New Roman" w:hAnsi="Verdana" w:cs="Times New Roman"/>
          <w:color w:val="000000"/>
          <w:highlight w:val="darkGray"/>
        </w:rPr>
        <w:t xml:space="preserve">. While these data provide an opportunity to learn more about a medicine’s benefits and risks, and can complement the main body of evidence coming from </w:t>
      </w:r>
      <w:proofErr w:type="spellStart"/>
      <w:r w:rsidRPr="005E6D77">
        <w:rPr>
          <w:rFonts w:ascii="Verdana" w:eastAsia="Times New Roman" w:hAnsi="Verdana" w:cs="Times New Roman"/>
          <w:color w:val="000000"/>
          <w:highlight w:val="darkGray"/>
        </w:rPr>
        <w:t>randomised</w:t>
      </w:r>
      <w:proofErr w:type="spellEnd"/>
      <w:r w:rsidRPr="005E6D77">
        <w:rPr>
          <w:rFonts w:ascii="Verdana" w:eastAsia="Times New Roman" w:hAnsi="Verdana" w:cs="Times New Roman"/>
          <w:color w:val="000000"/>
          <w:highlight w:val="darkGray"/>
        </w:rPr>
        <w:t> </w:t>
      </w:r>
      <w:hyperlink r:id="rId5" w:tgtFrame="_blank" w:tooltip="A study performed to investigate the safety or efficacy of a medicine. For human medicines, these studies are carried out in human volunteers." w:history="1">
        <w:r w:rsidRPr="005E6D77">
          <w:rPr>
            <w:rFonts w:ascii="Verdana" w:eastAsia="Times New Roman" w:hAnsi="Verdana" w:cs="Times New Roman"/>
            <w:color w:val="000000"/>
            <w:highlight w:val="darkGray"/>
            <w:u w:val="single"/>
          </w:rPr>
          <w:t>clinical trials</w:t>
        </w:r>
      </w:hyperlink>
      <w:r w:rsidRPr="005E6D77">
        <w:rPr>
          <w:rFonts w:ascii="Verdana" w:eastAsia="Times New Roman" w:hAnsi="Verdana" w:cs="Times New Roman"/>
          <w:color w:val="000000"/>
          <w:highlight w:val="darkGray"/>
        </w:rPr>
        <w:t xml:space="preserve">, they will not necessarily translate into credible evidence for regulators and other decision-makers in the absence of adequate statistical methods to extract, </w:t>
      </w:r>
      <w:proofErr w:type="spellStart"/>
      <w:r w:rsidRPr="005E6D77">
        <w:rPr>
          <w:rFonts w:ascii="Verdana" w:eastAsia="Times New Roman" w:hAnsi="Verdana" w:cs="Times New Roman"/>
          <w:color w:val="000000"/>
          <w:highlight w:val="darkGray"/>
        </w:rPr>
        <w:t>analyse</w:t>
      </w:r>
      <w:proofErr w:type="spellEnd"/>
      <w:r w:rsidRPr="005E6D77">
        <w:rPr>
          <w:rFonts w:ascii="Verdana" w:eastAsia="Times New Roman" w:hAnsi="Verdana" w:cs="Times New Roman"/>
          <w:color w:val="000000"/>
          <w:highlight w:val="darkGray"/>
        </w:rPr>
        <w:t>, and interpret them.</w:t>
      </w:r>
    </w:p>
    <w:p w14:paraId="5F1CC873" w14:textId="77777777" w:rsidR="00860334" w:rsidRPr="00860334" w:rsidRDefault="00860334" w:rsidP="00860334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5E6D77">
        <w:rPr>
          <w:rFonts w:ascii="Verdana" w:eastAsia="Times New Roman" w:hAnsi="Verdana" w:cs="Times New Roman"/>
          <w:color w:val="000000"/>
          <w:highlight w:val="darkGray"/>
        </w:rPr>
        <w:t>In an article published in Clinical Pharmacology &amp; Therapeutics, regulators and academics explain how proper methodological validation can ensure the credibility of these data sources and allow authorities to rely on them to draw reliable scientific conclusions.</w:t>
      </w:r>
      <w:r w:rsidRPr="00860334">
        <w:rPr>
          <w:rFonts w:ascii="Verdana" w:eastAsia="Times New Roman" w:hAnsi="Verdana" w:cs="Times New Roman"/>
          <w:color w:val="000000"/>
        </w:rPr>
        <w:t xml:space="preserve"> The article is co-signed by a number of EMA staff members, academics and experts from national regulatory authorities, including EMA’s </w:t>
      </w:r>
      <w:hyperlink r:id="rId6" w:tgtFrame="_self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Executive Director</w:t>
        </w:r>
      </w:hyperlink>
      <w:r w:rsidRPr="00860334">
        <w:rPr>
          <w:rFonts w:ascii="Verdana" w:eastAsia="Times New Roman" w:hAnsi="Verdana" w:cs="Times New Roman"/>
          <w:color w:val="000000"/>
        </w:rPr>
        <w:t xml:space="preserve"> Guido </w:t>
      </w:r>
      <w:proofErr w:type="spellStart"/>
      <w:r w:rsidRPr="00860334">
        <w:rPr>
          <w:rFonts w:ascii="Verdana" w:eastAsia="Times New Roman" w:hAnsi="Verdana" w:cs="Times New Roman"/>
          <w:color w:val="000000"/>
        </w:rPr>
        <w:t>Rasi</w:t>
      </w:r>
      <w:proofErr w:type="spellEnd"/>
      <w:r w:rsidRPr="00860334">
        <w:rPr>
          <w:rFonts w:ascii="Verdana" w:eastAsia="Times New Roman" w:hAnsi="Verdana" w:cs="Times New Roman"/>
          <w:color w:val="000000"/>
        </w:rPr>
        <w:t>, its Senior Medical Officer, Hans-Georg Eichler, and the Chair and Vice-Chair of EMA’s </w:t>
      </w:r>
      <w:hyperlink r:id="rId7" w:tgtFrame="_self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human medicines committee (CHMP)</w:t>
        </w:r>
      </w:hyperlink>
      <w:r w:rsidRPr="00860334">
        <w:rPr>
          <w:rFonts w:ascii="Verdana" w:eastAsia="Times New Roman" w:hAnsi="Verdana" w:cs="Times New Roman"/>
          <w:color w:val="000000"/>
        </w:rPr>
        <w:t xml:space="preserve">, Harald </w:t>
      </w:r>
      <w:proofErr w:type="spellStart"/>
      <w:r w:rsidRPr="00860334">
        <w:rPr>
          <w:rFonts w:ascii="Verdana" w:eastAsia="Times New Roman" w:hAnsi="Verdana" w:cs="Times New Roman"/>
          <w:color w:val="000000"/>
        </w:rPr>
        <w:t>Enzmann</w:t>
      </w:r>
      <w:proofErr w:type="spellEnd"/>
      <w:r w:rsidRPr="00860334">
        <w:rPr>
          <w:rFonts w:ascii="Verdana" w:eastAsia="Times New Roman" w:hAnsi="Verdana" w:cs="Times New Roman"/>
          <w:color w:val="000000"/>
        </w:rPr>
        <w:t xml:space="preserve"> and Bruno </w:t>
      </w:r>
      <w:proofErr w:type="spellStart"/>
      <w:r w:rsidRPr="00860334">
        <w:rPr>
          <w:rFonts w:ascii="Verdana" w:eastAsia="Times New Roman" w:hAnsi="Verdana" w:cs="Times New Roman"/>
          <w:color w:val="000000"/>
        </w:rPr>
        <w:t>Sepodes</w:t>
      </w:r>
      <w:proofErr w:type="spellEnd"/>
      <w:r w:rsidRPr="00860334">
        <w:rPr>
          <w:rFonts w:ascii="Verdana" w:eastAsia="Times New Roman" w:hAnsi="Verdana" w:cs="Times New Roman"/>
          <w:color w:val="000000"/>
        </w:rPr>
        <w:t>.</w:t>
      </w:r>
    </w:p>
    <w:p w14:paraId="6E42BC6A" w14:textId="77777777" w:rsidR="00860334" w:rsidRPr="00860334" w:rsidRDefault="00860334" w:rsidP="00860334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5E6D77">
        <w:rPr>
          <w:rFonts w:ascii="Verdana" w:eastAsia="Times New Roman" w:hAnsi="Verdana" w:cs="Times New Roman"/>
          <w:color w:val="000000"/>
          <w:highlight w:val="darkGray"/>
        </w:rPr>
        <w:t>To make the novel analytical methods acceptable for regulators and other decision-makers would require their testing and validation in broadly the same way one would evaluate a new medicine: “prospectively, well-controlled and according to pre-agreed plan”, explain the authors</w:t>
      </w:r>
      <w:r w:rsidRPr="00860334">
        <w:rPr>
          <w:rFonts w:ascii="Verdana" w:eastAsia="Times New Roman" w:hAnsi="Verdana" w:cs="Times New Roman"/>
          <w:color w:val="000000"/>
        </w:rPr>
        <w:t>.</w:t>
      </w:r>
    </w:p>
    <w:p w14:paraId="11432A25" w14:textId="77777777" w:rsidR="00860334" w:rsidRPr="00860334" w:rsidRDefault="00860334" w:rsidP="00860334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60334">
        <w:rPr>
          <w:rFonts w:ascii="Verdana" w:eastAsia="Times New Roman" w:hAnsi="Verdana" w:cs="Times New Roman"/>
          <w:color w:val="000000"/>
        </w:rPr>
        <w:t>One way forward would be for developers to use EMA’s </w:t>
      </w:r>
      <w:hyperlink r:id="rId8" w:tgtFrame="_self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qualification procedure</w:t>
        </w:r>
      </w:hyperlink>
      <w:r w:rsidRPr="00860334">
        <w:rPr>
          <w:rFonts w:ascii="Verdana" w:eastAsia="Times New Roman" w:hAnsi="Verdana" w:cs="Times New Roman"/>
          <w:color w:val="000000"/>
        </w:rPr>
        <w:t> to validate these methodologies, ideally with active participation of </w:t>
      </w:r>
      <w:hyperlink r:id="rId9" w:tgtFrame="_self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health technology assessment bodies</w:t>
        </w:r>
      </w:hyperlink>
      <w:r w:rsidRPr="00860334">
        <w:rPr>
          <w:rFonts w:ascii="Verdana" w:eastAsia="Times New Roman" w:hAnsi="Verdana" w:cs="Times New Roman"/>
          <w:color w:val="000000"/>
        </w:rPr>
        <w:t>, healthcare payers and </w:t>
      </w:r>
      <w:hyperlink r:id="rId10" w:tgtFrame="_self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patient groups</w:t>
        </w:r>
      </w:hyperlink>
      <w:r w:rsidRPr="00860334">
        <w:rPr>
          <w:rFonts w:ascii="Verdana" w:eastAsia="Times New Roman" w:hAnsi="Verdana" w:cs="Times New Roman"/>
          <w:color w:val="000000"/>
        </w:rPr>
        <w:t>. Through this procedure, the </w:t>
      </w:r>
      <w:hyperlink r:id="rId11" w:tgtFrame="_blank" w:tooltip="Committee for Medicinal Products for Human Use -  the committee that is responsible for preparing the Agency's opinions on questions concerning human medicines. &#13; &#13; More information can be found under 'Committee for Medicinal Products for Human Use (CHMP)'." w:history="1">
        <w:r w:rsidRPr="00860334">
          <w:rPr>
            <w:rFonts w:ascii="Verdana" w:eastAsia="Times New Roman" w:hAnsi="Verdana" w:cs="Times New Roman"/>
            <w:color w:val="000000"/>
            <w:u w:val="single"/>
          </w:rPr>
          <w:t>CHMP</w:t>
        </w:r>
      </w:hyperlink>
      <w:r w:rsidRPr="00860334">
        <w:rPr>
          <w:rFonts w:ascii="Verdana" w:eastAsia="Times New Roman" w:hAnsi="Verdana" w:cs="Times New Roman"/>
          <w:color w:val="000000"/>
        </w:rPr>
        <w:t> can issue an opinion on the acceptability of a novel analytic method for specific research questions. Developers of novel methodologies should be aware that validation will need to be built into the development plans for some new medicines. </w:t>
      </w:r>
    </w:p>
    <w:p w14:paraId="58B475D4" w14:textId="77777777" w:rsidR="00860334" w:rsidRPr="00860334" w:rsidRDefault="00860334" w:rsidP="00860334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r w:rsidRPr="00860334">
        <w:rPr>
          <w:rFonts w:ascii="Verdana" w:eastAsia="Times New Roman" w:hAnsi="Verdana" w:cs="Times New Roman"/>
          <w:color w:val="000000"/>
        </w:rPr>
        <w:t>The article, </w:t>
      </w:r>
      <w:hyperlink r:id="rId12" w:tgtFrame="_blank" w:history="1">
        <w:r w:rsidRPr="00860334">
          <w:rPr>
            <w:rFonts w:ascii="Verdana" w:eastAsia="Times New Roman" w:hAnsi="Verdana" w:cs="Times New Roman"/>
            <w:color w:val="75197C"/>
            <w:u w:val="single"/>
          </w:rPr>
          <w:t>“Are novel, non-</w:t>
        </w:r>
        <w:proofErr w:type="spellStart"/>
        <w:r w:rsidRPr="00860334">
          <w:rPr>
            <w:rFonts w:ascii="Verdana" w:eastAsia="Times New Roman" w:hAnsi="Verdana" w:cs="Times New Roman"/>
            <w:color w:val="75197C"/>
            <w:u w:val="single"/>
          </w:rPr>
          <w:t>randomised</w:t>
        </w:r>
        <w:proofErr w:type="spellEnd"/>
        <w:r w:rsidRPr="00860334">
          <w:rPr>
            <w:rFonts w:ascii="Verdana" w:eastAsia="Times New Roman" w:hAnsi="Verdana" w:cs="Times New Roman"/>
            <w:color w:val="75197C"/>
            <w:u w:val="single"/>
          </w:rPr>
          <w:t xml:space="preserve"> analytic methods fit for decision-making? The need for prospective, controlled and transparent validation”</w:t>
        </w:r>
      </w:hyperlink>
      <w:r w:rsidRPr="00860334">
        <w:rPr>
          <w:rFonts w:ascii="Verdana" w:eastAsia="Times New Roman" w:hAnsi="Verdana" w:cs="Times New Roman"/>
          <w:color w:val="000000"/>
        </w:rPr>
        <w:t> is freely available in Clinical Pharmacology &amp; Therapeutics.</w:t>
      </w:r>
    </w:p>
    <w:p w14:paraId="00DC4D7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C6"/>
    <w:rsid w:val="001443C6"/>
    <w:rsid w:val="00453EED"/>
    <w:rsid w:val="005E6D77"/>
    <w:rsid w:val="00860334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2FDE8"/>
  <w14:defaultImageDpi w14:val="32767"/>
  <w15:chartTrackingRefBased/>
  <w15:docId w15:val="{9B68599B-B8F2-B841-82F4-8F956721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3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60334"/>
  </w:style>
  <w:style w:type="character" w:customStyle="1" w:styleId="date-display-single">
    <w:name w:val="date-display-single"/>
    <w:basedOn w:val="DefaultParagraphFont"/>
    <w:rsid w:val="00860334"/>
  </w:style>
  <w:style w:type="paragraph" w:styleId="NormalWeb">
    <w:name w:val="Normal (Web)"/>
    <w:basedOn w:val="Normal"/>
    <w:uiPriority w:val="99"/>
    <w:semiHidden/>
    <w:unhideWhenUsed/>
    <w:rsid w:val="008603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60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human-regulatory/research-development/scientific-advice-protocol-assistance/qualification-novel-methodologies-medicine-develop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a.europa.eu/en/committees/committee-medicinal-products-human-use-chmp" TargetMode="External"/><Relationship Id="rId12" Type="http://schemas.openxmlformats.org/officeDocument/2006/relationships/hyperlink" Target="https://ascpt.onlinelibrary.wiley.com/doi/10.1002/cpt.16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.europa.eu/en/about-us/who-we-are/executive-director" TargetMode="External"/><Relationship Id="rId11" Type="http://schemas.openxmlformats.org/officeDocument/2006/relationships/hyperlink" Target="https://www.ema.europa.eu/en/glossary/chmp" TargetMode="External"/><Relationship Id="rId5" Type="http://schemas.openxmlformats.org/officeDocument/2006/relationships/hyperlink" Target="https://www.ema.europa.eu/en/glossary/clinical-trial" TargetMode="External"/><Relationship Id="rId10" Type="http://schemas.openxmlformats.org/officeDocument/2006/relationships/hyperlink" Target="https://www.ema.europa.eu/en/partners-networks/patients-consumers" TargetMode="External"/><Relationship Id="rId4" Type="http://schemas.openxmlformats.org/officeDocument/2006/relationships/hyperlink" Target="https://www.ema.europa.eu/en/glossary/clinical-trial" TargetMode="External"/><Relationship Id="rId9" Type="http://schemas.openxmlformats.org/officeDocument/2006/relationships/hyperlink" Target="https://www.ema.europa.eu/en/partners-networks/health-technology-assessment-bod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2020-02-18T10:47:00Z</dcterms:created>
  <dcterms:modified xsi:type="dcterms:W3CDTF">2020-03-15T14:35:00Z</dcterms:modified>
</cp:coreProperties>
</file>