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6D23B" w14:textId="77777777" w:rsidR="00DD59C4" w:rsidRPr="00DD59C4" w:rsidRDefault="00DD59C4" w:rsidP="00DD59C4">
      <w:pPr>
        <w:outlineLvl w:val="0"/>
        <w:rPr>
          <w:rFonts w:ascii="Verdana" w:eastAsia="Times New Roman" w:hAnsi="Verdana" w:cs="Times New Roman"/>
          <w:color w:val="000000"/>
          <w:kern w:val="36"/>
          <w:sz w:val="48"/>
          <w:szCs w:val="48"/>
        </w:rPr>
      </w:pPr>
      <w:r w:rsidRPr="00DD59C4">
        <w:rPr>
          <w:rFonts w:ascii="Verdana" w:eastAsia="Times New Roman" w:hAnsi="Verdana" w:cs="Times New Roman"/>
          <w:color w:val="000000"/>
          <w:kern w:val="36"/>
          <w:sz w:val="48"/>
          <w:szCs w:val="48"/>
        </w:rPr>
        <w:t>EMA’s work on new veterinary regulation advances</w:t>
      </w:r>
    </w:p>
    <w:p w14:paraId="5FEC145F" w14:textId="77777777" w:rsidR="00DD59C4" w:rsidRPr="00DD59C4" w:rsidRDefault="00DD59C4" w:rsidP="00DD59C4">
      <w:pPr>
        <w:rPr>
          <w:rFonts w:ascii="Times New Roman" w:eastAsia="Times New Roman" w:hAnsi="Times New Roman" w:cs="Times New Roman"/>
        </w:rPr>
      </w:pPr>
      <w:r w:rsidRPr="00DD59C4">
        <w:rPr>
          <w:rFonts w:ascii="Verdana" w:eastAsia="Times New Roman" w:hAnsi="Verdana" w:cs="Times New Roman"/>
          <w:color w:val="000000"/>
        </w:rPr>
        <w:t> </w:t>
      </w:r>
    </w:p>
    <w:p w14:paraId="7ED672C6" w14:textId="77777777" w:rsidR="00DD59C4" w:rsidRPr="00DD59C4" w:rsidRDefault="00DD59C4" w:rsidP="00DD59C4">
      <w:pPr>
        <w:rPr>
          <w:rFonts w:ascii="Verdana" w:eastAsia="Times New Roman" w:hAnsi="Verdana" w:cs="Times New Roman"/>
          <w:color w:val="000000"/>
        </w:rPr>
      </w:pPr>
      <w:r w:rsidRPr="00DD59C4">
        <w:rPr>
          <w:rFonts w:ascii="Verdana" w:eastAsia="Times New Roman" w:hAnsi="Verdana" w:cs="Times New Roman"/>
          <w:color w:val="000000"/>
        </w:rPr>
        <w:t>Share</w:t>
      </w:r>
    </w:p>
    <w:p w14:paraId="03FE1636" w14:textId="77777777" w:rsidR="00DD59C4" w:rsidRPr="00DD59C4" w:rsidRDefault="00DD59C4" w:rsidP="00DD59C4">
      <w:pPr>
        <w:rPr>
          <w:rFonts w:ascii="Verdana" w:eastAsia="Times New Roman" w:hAnsi="Verdana" w:cs="Times New Roman"/>
          <w:color w:val="000000"/>
        </w:rPr>
      </w:pPr>
      <w:r w:rsidRPr="00DD59C4">
        <w:rPr>
          <w:rFonts w:ascii="Verdana" w:eastAsia="Times New Roman" w:hAnsi="Verdana" w:cs="Times New Roman"/>
          <w:color w:val="000000"/>
        </w:rPr>
        <w:t>News 23/09/2019</w:t>
      </w:r>
    </w:p>
    <w:p w14:paraId="45A6C7E5" w14:textId="2D8A7DD6" w:rsidR="00DD59C4" w:rsidRPr="00DD59C4" w:rsidRDefault="00DD59C4" w:rsidP="00DD59C4">
      <w:pPr>
        <w:spacing w:beforeAutospacing="1" w:afterAutospacing="1"/>
        <w:rPr>
          <w:rFonts w:ascii="Verdana" w:eastAsia="Times New Roman" w:hAnsi="Verdana" w:cs="Times New Roman"/>
          <w:color w:val="000000"/>
        </w:rPr>
      </w:pPr>
      <w:bookmarkStart w:id="0" w:name="_GoBack"/>
      <w:bookmarkEnd w:id="0"/>
      <w:r w:rsidRPr="00B96AC7">
        <w:rPr>
          <w:rFonts w:ascii="Verdana" w:eastAsia="Times New Roman" w:hAnsi="Verdana" w:cs="Times New Roman"/>
          <w:color w:val="000000"/>
          <w:highlight w:val="lightGray"/>
        </w:rPr>
        <w:t>EMA has launched a </w:t>
      </w:r>
      <w:hyperlink r:id="rId4" w:tgtFrame="_self" w:history="1">
        <w:r w:rsidRPr="00B96AC7">
          <w:rPr>
            <w:rFonts w:ascii="Verdana" w:eastAsia="Times New Roman" w:hAnsi="Verdana" w:cs="Times New Roman"/>
            <w:color w:val="75197C"/>
            <w:highlight w:val="lightGray"/>
            <w:u w:val="single"/>
          </w:rPr>
          <w:t>new webpage</w:t>
        </w:r>
      </w:hyperlink>
      <w:r w:rsidRPr="00B96AC7">
        <w:rPr>
          <w:rFonts w:ascii="Verdana" w:eastAsia="Times New Roman" w:hAnsi="Verdana" w:cs="Times New Roman"/>
          <w:color w:val="000000"/>
          <w:highlight w:val="lightGray"/>
        </w:rPr>
        <w:t> that shows the progress made by the Agency in the implementation of the </w:t>
      </w:r>
      <w:hyperlink r:id="rId5" w:tgtFrame="_blank" w:history="1">
        <w:r w:rsidRPr="00B96AC7">
          <w:rPr>
            <w:rFonts w:ascii="Verdana" w:eastAsia="Times New Roman" w:hAnsi="Verdana" w:cs="Times New Roman"/>
            <w:color w:val="75197C"/>
            <w:highlight w:val="lightGray"/>
            <w:u w:val="single"/>
          </w:rPr>
          <w:t>new Veterinary Medicines Regulation (Regulation (EU) 2019/6)</w:t>
        </w:r>
      </w:hyperlink>
      <w:r w:rsidRPr="00B96AC7">
        <w:rPr>
          <w:rFonts w:ascii="Verdana" w:eastAsia="Times New Roman" w:hAnsi="Verdana" w:cs="Times New Roman"/>
          <w:color w:val="000000"/>
          <w:highlight w:val="lightGray"/>
        </w:rPr>
        <w:t>, which becomes applicable on 28 January 2022. On this webpage, stakeholders can find all relevant information regarding EMA’s scientific and technical recommendations to the European Commission that will feed into delegated and implementing acts as part of the implementation of the legislation, as well as updates on other activities such as the preparation for implementation progresses.</w:t>
      </w:r>
      <w:r w:rsidRPr="00DD59C4">
        <w:rPr>
          <w:rFonts w:ascii="Verdana" w:eastAsia="Times New Roman" w:hAnsi="Verdana" w:cs="Times New Roman"/>
          <w:color w:val="000000"/>
        </w:rPr>
        <w:t> </w:t>
      </w:r>
    </w:p>
    <w:p w14:paraId="2A4F7176" w14:textId="77777777" w:rsidR="00DD59C4" w:rsidRPr="00B96AC7" w:rsidRDefault="00DD59C4" w:rsidP="00DD59C4">
      <w:pPr>
        <w:spacing w:beforeAutospacing="1" w:afterAutospacing="1"/>
        <w:rPr>
          <w:rFonts w:ascii="Verdana" w:eastAsia="Times New Roman" w:hAnsi="Verdana" w:cs="Times New Roman"/>
          <w:color w:val="000000"/>
          <w:highlight w:val="yellow"/>
        </w:rPr>
      </w:pPr>
      <w:r w:rsidRPr="00B96AC7">
        <w:rPr>
          <w:rFonts w:ascii="Verdana" w:eastAsia="Times New Roman" w:hAnsi="Verdana" w:cs="Times New Roman"/>
          <w:color w:val="000000"/>
          <w:highlight w:val="yellow"/>
        </w:rPr>
        <w:t>The new regulation contains new measures for increasing the availability of veterinary medicines and enhances EU action against antimicrobial resistance, a high priority for the Agency and the </w:t>
      </w:r>
      <w:hyperlink r:id="rId6" w:tgtFrame="_self" w:history="1">
        <w:r w:rsidRPr="00B96AC7">
          <w:rPr>
            <w:rFonts w:ascii="Verdana" w:eastAsia="Times New Roman" w:hAnsi="Verdana" w:cs="Times New Roman"/>
            <w:color w:val="75197C"/>
            <w:highlight w:val="yellow"/>
            <w:u w:val="single"/>
          </w:rPr>
          <w:t>European medicines regulatory network</w:t>
        </w:r>
      </w:hyperlink>
      <w:r w:rsidRPr="00B96AC7">
        <w:rPr>
          <w:rFonts w:ascii="Verdana" w:eastAsia="Times New Roman" w:hAnsi="Verdana" w:cs="Times New Roman"/>
          <w:color w:val="000000"/>
          <w:highlight w:val="yellow"/>
        </w:rPr>
        <w:t>. It also aims to reduce administrative burden and encourage medicine innovation and development.</w:t>
      </w:r>
    </w:p>
    <w:p w14:paraId="44C08A78" w14:textId="77777777" w:rsidR="00DD59C4" w:rsidRPr="00B96AC7" w:rsidRDefault="00DD59C4" w:rsidP="00DD59C4">
      <w:pPr>
        <w:spacing w:beforeAutospacing="1" w:afterAutospacing="1"/>
        <w:rPr>
          <w:rFonts w:ascii="Verdana" w:eastAsia="Times New Roman" w:hAnsi="Verdana" w:cs="Times New Roman"/>
          <w:color w:val="000000"/>
          <w:highlight w:val="yellow"/>
        </w:rPr>
      </w:pPr>
      <w:r w:rsidRPr="00B96AC7">
        <w:rPr>
          <w:rFonts w:ascii="Verdana" w:eastAsia="Times New Roman" w:hAnsi="Verdana" w:cs="Times New Roman"/>
          <w:color w:val="000000"/>
          <w:highlight w:val="yellow"/>
        </w:rPr>
        <w:t>As part of the implementation of the veterinary regulation, the Commission is now preparing </w:t>
      </w:r>
      <w:hyperlink r:id="rId7" w:tgtFrame="_blank" w:history="1">
        <w:r w:rsidRPr="00B96AC7">
          <w:rPr>
            <w:rFonts w:ascii="Verdana" w:eastAsia="Times New Roman" w:hAnsi="Verdana" w:cs="Times New Roman"/>
            <w:color w:val="75197C"/>
            <w:highlight w:val="yellow"/>
            <w:u w:val="single"/>
          </w:rPr>
          <w:t>legislative acts</w:t>
        </w:r>
      </w:hyperlink>
      <w:r w:rsidRPr="00B96AC7">
        <w:rPr>
          <w:rFonts w:ascii="Verdana" w:eastAsia="Times New Roman" w:hAnsi="Verdana" w:cs="Times New Roman"/>
          <w:color w:val="000000"/>
          <w:highlight w:val="yellow"/>
        </w:rPr>
        <w:t>, for which EMA provides scientific and technical recommendations when requested. </w:t>
      </w:r>
    </w:p>
    <w:p w14:paraId="298CE5D4" w14:textId="77777777" w:rsidR="00DD59C4" w:rsidRPr="00DD59C4" w:rsidRDefault="00DD59C4" w:rsidP="00DD59C4">
      <w:pPr>
        <w:spacing w:before="100" w:beforeAutospacing="1" w:after="100" w:afterAutospacing="1"/>
        <w:rPr>
          <w:rFonts w:ascii="Verdana" w:eastAsia="Times New Roman" w:hAnsi="Verdana" w:cs="Times New Roman"/>
          <w:color w:val="000000"/>
        </w:rPr>
      </w:pPr>
      <w:r w:rsidRPr="00B96AC7">
        <w:rPr>
          <w:rFonts w:ascii="Verdana" w:eastAsia="Times New Roman" w:hAnsi="Verdana" w:cs="Times New Roman"/>
          <w:color w:val="000000"/>
          <w:highlight w:val="yellow"/>
        </w:rPr>
        <w:t>Some of the topics covered by the Agency’s recommendations are new requirements for the collection of data on the sales and use of antimicrobials in animals, which will complement the work already carried out by EEA states and Switzerland to gather data on sales of antibiotics, or the development of a Union Product Database on veterinary medicines, which will provide information on all veterinary medicines that have been approved, and their availability in EU Member States.</w:t>
      </w:r>
    </w:p>
    <w:p w14:paraId="1D59AD64" w14:textId="77777777" w:rsidR="00DD59C4" w:rsidRPr="00DD59C4" w:rsidRDefault="00DD59C4" w:rsidP="00DD59C4">
      <w:pPr>
        <w:spacing w:beforeAutospacing="1" w:afterAutospacing="1"/>
        <w:rPr>
          <w:rFonts w:ascii="Verdana" w:eastAsia="Times New Roman" w:hAnsi="Verdana" w:cs="Times New Roman"/>
          <w:color w:val="000000"/>
        </w:rPr>
      </w:pPr>
      <w:r w:rsidRPr="00B96AC7">
        <w:rPr>
          <w:rFonts w:ascii="Verdana" w:eastAsia="Times New Roman" w:hAnsi="Verdana" w:cs="Times New Roman"/>
          <w:color w:val="000000"/>
          <w:highlight w:val="lightGray"/>
        </w:rPr>
        <w:t xml:space="preserve">“The new veterinary legislation is an area we </w:t>
      </w:r>
      <w:proofErr w:type="spellStart"/>
      <w:r w:rsidRPr="00B96AC7">
        <w:rPr>
          <w:rFonts w:ascii="Verdana" w:eastAsia="Times New Roman" w:hAnsi="Verdana" w:cs="Times New Roman"/>
          <w:color w:val="000000"/>
          <w:highlight w:val="lightGray"/>
        </w:rPr>
        <w:t>prioritised</w:t>
      </w:r>
      <w:proofErr w:type="spellEnd"/>
      <w:r w:rsidRPr="00B96AC7">
        <w:rPr>
          <w:rFonts w:ascii="Verdana" w:eastAsia="Times New Roman" w:hAnsi="Verdana" w:cs="Times New Roman"/>
          <w:color w:val="000000"/>
          <w:highlight w:val="lightGray"/>
        </w:rPr>
        <w:t xml:space="preserve"> and work has been going on, despite EMA having to operate under business continuity conditions to safeguard core activities related to the evaluation and supervision of veterinary medicines,” says Ivo Claassen, Head of EMA’s </w:t>
      </w:r>
      <w:hyperlink r:id="rId8" w:tgtFrame="_self" w:history="1">
        <w:r w:rsidRPr="00B96AC7">
          <w:rPr>
            <w:rFonts w:ascii="Verdana" w:eastAsia="Times New Roman" w:hAnsi="Verdana" w:cs="Times New Roman"/>
            <w:color w:val="75197C"/>
            <w:highlight w:val="lightGray"/>
            <w:u w:val="single"/>
          </w:rPr>
          <w:t>Veterinary Medicines Division</w:t>
        </w:r>
      </w:hyperlink>
      <w:r w:rsidRPr="00B96AC7">
        <w:rPr>
          <w:rFonts w:ascii="Verdana" w:eastAsia="Times New Roman" w:hAnsi="Verdana" w:cs="Times New Roman"/>
          <w:color w:val="000000"/>
          <w:highlight w:val="lightGray"/>
        </w:rPr>
        <w:t>.</w:t>
      </w:r>
    </w:p>
    <w:p w14:paraId="145D91B9" w14:textId="77777777" w:rsidR="00DD59C4" w:rsidRPr="00DD59C4" w:rsidRDefault="00DD59C4" w:rsidP="00DD59C4">
      <w:pPr>
        <w:spacing w:beforeAutospacing="1" w:afterAutospacing="1"/>
        <w:rPr>
          <w:rFonts w:ascii="Verdana" w:eastAsia="Times New Roman" w:hAnsi="Verdana" w:cs="Times New Roman"/>
          <w:color w:val="000000"/>
        </w:rPr>
      </w:pPr>
      <w:r w:rsidRPr="00DD59C4">
        <w:rPr>
          <w:rFonts w:ascii="Verdana" w:eastAsia="Times New Roman" w:hAnsi="Verdana" w:cs="Times New Roman"/>
          <w:color w:val="000000"/>
        </w:rPr>
        <w:t>“However, progress might be affected as the Agency will not only need time to rebuild its workforce after the </w:t>
      </w:r>
      <w:hyperlink r:id="rId9" w:tgtFrame="_self" w:history="1">
        <w:r w:rsidRPr="00DD59C4">
          <w:rPr>
            <w:rFonts w:ascii="Verdana" w:eastAsia="Times New Roman" w:hAnsi="Verdana" w:cs="Times New Roman"/>
            <w:color w:val="75197C"/>
            <w:u w:val="single"/>
          </w:rPr>
          <w:t>relocation</w:t>
        </w:r>
      </w:hyperlink>
      <w:r w:rsidRPr="00DD59C4">
        <w:rPr>
          <w:rFonts w:ascii="Verdana" w:eastAsia="Times New Roman" w:hAnsi="Verdana" w:cs="Times New Roman"/>
          <w:color w:val="000000"/>
        </w:rPr>
        <w:t>, but may also have to absorb the new activities without a corresponding staffing increase.”</w:t>
      </w:r>
    </w:p>
    <w:p w14:paraId="64AC291E" w14:textId="77777777" w:rsidR="00DD59C4" w:rsidRPr="00B96AC7" w:rsidRDefault="00DD59C4" w:rsidP="00DD59C4">
      <w:pPr>
        <w:spacing w:beforeAutospacing="1" w:afterAutospacing="1"/>
        <w:rPr>
          <w:rFonts w:ascii="Verdana" w:eastAsia="Times New Roman" w:hAnsi="Verdana" w:cs="Times New Roman"/>
          <w:color w:val="000000"/>
          <w:highlight w:val="yellow"/>
        </w:rPr>
      </w:pPr>
      <w:r w:rsidRPr="00B96AC7">
        <w:rPr>
          <w:rFonts w:ascii="Verdana" w:eastAsia="Times New Roman" w:hAnsi="Verdana" w:cs="Times New Roman"/>
          <w:color w:val="000000"/>
          <w:highlight w:val="yellow"/>
        </w:rPr>
        <w:lastRenderedPageBreak/>
        <w:t>Preparations are being carried out by experts from EMA and the EU Member States, in consultation with other EU bodies, where necessary. EMA's </w:t>
      </w:r>
      <w:hyperlink r:id="rId10" w:tgtFrame="_self" w:history="1">
        <w:r w:rsidRPr="00B96AC7">
          <w:rPr>
            <w:rFonts w:ascii="Verdana" w:eastAsia="Times New Roman" w:hAnsi="Verdana" w:cs="Times New Roman"/>
            <w:color w:val="75197C"/>
            <w:highlight w:val="yellow"/>
            <w:u w:val="single"/>
          </w:rPr>
          <w:t>Committee for Medicinal Products for Veterinary Use (CVMP)</w:t>
        </w:r>
      </w:hyperlink>
      <w:r w:rsidRPr="00B96AC7">
        <w:rPr>
          <w:rFonts w:ascii="Verdana" w:eastAsia="Times New Roman" w:hAnsi="Verdana" w:cs="Times New Roman"/>
          <w:color w:val="000000"/>
          <w:highlight w:val="yellow"/>
        </w:rPr>
        <w:t> adopts the Agency's scientific recommendations before EMA provides them to the European Commission. A number of recommendations were sent already to the Commission in August.</w:t>
      </w:r>
    </w:p>
    <w:p w14:paraId="3BB2459B" w14:textId="77777777" w:rsidR="00DD59C4" w:rsidRPr="00B96AC7" w:rsidRDefault="00DD59C4" w:rsidP="00DD59C4">
      <w:pPr>
        <w:spacing w:beforeAutospacing="1" w:afterAutospacing="1"/>
        <w:rPr>
          <w:rFonts w:ascii="Verdana" w:eastAsia="Times New Roman" w:hAnsi="Verdana" w:cs="Times New Roman"/>
          <w:color w:val="000000"/>
          <w:highlight w:val="yellow"/>
        </w:rPr>
      </w:pPr>
      <w:r w:rsidRPr="00B96AC7">
        <w:rPr>
          <w:rFonts w:ascii="Verdana" w:eastAsia="Times New Roman" w:hAnsi="Verdana" w:cs="Times New Roman"/>
          <w:color w:val="000000"/>
          <w:highlight w:val="yellow"/>
        </w:rPr>
        <w:t>The relevant documents on the progress of the work on this legislation will be published </w:t>
      </w:r>
      <w:hyperlink r:id="rId11" w:tgtFrame="_self" w:history="1">
        <w:r w:rsidRPr="00B96AC7">
          <w:rPr>
            <w:rFonts w:ascii="Verdana" w:eastAsia="Times New Roman" w:hAnsi="Verdana" w:cs="Times New Roman"/>
            <w:color w:val="75197C"/>
            <w:highlight w:val="yellow"/>
            <w:u w:val="single"/>
          </w:rPr>
          <w:t>on the Agency’s website</w:t>
        </w:r>
      </w:hyperlink>
      <w:r w:rsidRPr="00B96AC7">
        <w:rPr>
          <w:rFonts w:ascii="Verdana" w:eastAsia="Times New Roman" w:hAnsi="Verdana" w:cs="Times New Roman"/>
          <w:color w:val="000000"/>
          <w:highlight w:val="yellow"/>
        </w:rPr>
        <w:t> as they become available.</w:t>
      </w:r>
    </w:p>
    <w:p w14:paraId="41251FC1" w14:textId="77777777" w:rsidR="00DD59C4" w:rsidRPr="00DD59C4" w:rsidRDefault="00B96AC7" w:rsidP="00DD59C4">
      <w:pPr>
        <w:spacing w:beforeAutospacing="1" w:afterAutospacing="1"/>
        <w:rPr>
          <w:rFonts w:ascii="Verdana" w:eastAsia="Times New Roman" w:hAnsi="Verdana" w:cs="Times New Roman"/>
          <w:color w:val="000000"/>
        </w:rPr>
      </w:pPr>
      <w:hyperlink r:id="rId12" w:tgtFrame="_blank" w:history="1">
        <w:r w:rsidR="00DD59C4" w:rsidRPr="00B96AC7">
          <w:rPr>
            <w:rFonts w:ascii="Verdana" w:eastAsia="Times New Roman" w:hAnsi="Verdana" w:cs="Times New Roman"/>
            <w:color w:val="75197C"/>
            <w:highlight w:val="yellow"/>
            <w:u w:val="single"/>
          </w:rPr>
          <w:t>Regulation (EU) 2019/6</w:t>
        </w:r>
      </w:hyperlink>
      <w:r w:rsidR="00DD59C4" w:rsidRPr="00B96AC7">
        <w:rPr>
          <w:rFonts w:ascii="Verdana" w:eastAsia="Times New Roman" w:hAnsi="Verdana" w:cs="Times New Roman"/>
          <w:color w:val="000000"/>
          <w:highlight w:val="yellow"/>
        </w:rPr>
        <w:t> repeals </w:t>
      </w:r>
      <w:hyperlink r:id="rId13" w:tgtFrame="_blank" w:history="1">
        <w:r w:rsidR="00DD59C4" w:rsidRPr="00B96AC7">
          <w:rPr>
            <w:rFonts w:ascii="Verdana" w:eastAsia="Times New Roman" w:hAnsi="Verdana" w:cs="Times New Roman"/>
            <w:color w:val="75197C"/>
            <w:highlight w:val="yellow"/>
            <w:u w:val="single"/>
          </w:rPr>
          <w:t>Directive 2001/82/EC</w:t>
        </w:r>
      </w:hyperlink>
      <w:r w:rsidR="00DD59C4" w:rsidRPr="00B96AC7">
        <w:rPr>
          <w:rFonts w:ascii="Verdana" w:eastAsia="Times New Roman" w:hAnsi="Verdana" w:cs="Times New Roman"/>
          <w:color w:val="000000"/>
          <w:highlight w:val="yellow"/>
        </w:rPr>
        <w:t> and amends the provisions of </w:t>
      </w:r>
      <w:hyperlink r:id="rId14" w:tgtFrame="_blank" w:history="1">
        <w:r w:rsidR="00DD59C4" w:rsidRPr="00B96AC7">
          <w:rPr>
            <w:rFonts w:ascii="Verdana" w:eastAsia="Times New Roman" w:hAnsi="Verdana" w:cs="Times New Roman"/>
            <w:color w:val="75197C"/>
            <w:highlight w:val="yellow"/>
            <w:u w:val="single"/>
          </w:rPr>
          <w:t>Regulation (EU) 726/2004</w:t>
        </w:r>
      </w:hyperlink>
      <w:r w:rsidR="00DD59C4" w:rsidRPr="00B96AC7">
        <w:rPr>
          <w:rFonts w:ascii="Verdana" w:eastAsia="Times New Roman" w:hAnsi="Verdana" w:cs="Times New Roman"/>
          <w:color w:val="000000"/>
          <w:highlight w:val="yellow"/>
        </w:rPr>
        <w:t xml:space="preserve"> relating to the </w:t>
      </w:r>
      <w:proofErr w:type="spellStart"/>
      <w:r w:rsidR="00DD59C4" w:rsidRPr="00B96AC7">
        <w:rPr>
          <w:rFonts w:ascii="Verdana" w:eastAsia="Times New Roman" w:hAnsi="Verdana" w:cs="Times New Roman"/>
          <w:color w:val="000000"/>
          <w:highlight w:val="yellow"/>
        </w:rPr>
        <w:t>authorisation</w:t>
      </w:r>
      <w:proofErr w:type="spellEnd"/>
      <w:r w:rsidR="00DD59C4" w:rsidRPr="00B96AC7">
        <w:rPr>
          <w:rFonts w:ascii="Verdana" w:eastAsia="Times New Roman" w:hAnsi="Verdana" w:cs="Times New Roman"/>
          <w:color w:val="000000"/>
          <w:highlight w:val="yellow"/>
        </w:rPr>
        <w:t xml:space="preserve"> and supervision of veterinary medicines, which currently governs the </w:t>
      </w:r>
      <w:proofErr w:type="spellStart"/>
      <w:r w:rsidR="00DD59C4" w:rsidRPr="00B96AC7">
        <w:rPr>
          <w:rFonts w:ascii="Verdana" w:eastAsia="Times New Roman" w:hAnsi="Verdana" w:cs="Times New Roman"/>
          <w:color w:val="000000"/>
          <w:highlight w:val="yellow"/>
        </w:rPr>
        <w:t>centralised</w:t>
      </w:r>
      <w:proofErr w:type="spellEnd"/>
      <w:r w:rsidR="00DD59C4" w:rsidRPr="00B96AC7">
        <w:rPr>
          <w:rFonts w:ascii="Verdana" w:eastAsia="Times New Roman" w:hAnsi="Verdana" w:cs="Times New Roman"/>
          <w:color w:val="000000"/>
          <w:highlight w:val="yellow"/>
        </w:rPr>
        <w:t> </w:t>
      </w:r>
      <w:hyperlink r:id="rId15" w:tgtFrame="_blank" w:tooltip="The approval to market a medicine in one, several or all European Union Member States." w:history="1">
        <w:r w:rsidR="00DD59C4" w:rsidRPr="00B96AC7">
          <w:rPr>
            <w:rFonts w:ascii="Verdana" w:eastAsia="Times New Roman" w:hAnsi="Verdana" w:cs="Times New Roman"/>
            <w:color w:val="000000"/>
            <w:highlight w:val="yellow"/>
            <w:u w:val="single"/>
          </w:rPr>
          <w:t xml:space="preserve">marketing </w:t>
        </w:r>
        <w:proofErr w:type="spellStart"/>
        <w:r w:rsidR="00DD59C4" w:rsidRPr="00B96AC7">
          <w:rPr>
            <w:rFonts w:ascii="Verdana" w:eastAsia="Times New Roman" w:hAnsi="Verdana" w:cs="Times New Roman"/>
            <w:color w:val="000000"/>
            <w:highlight w:val="yellow"/>
            <w:u w:val="single"/>
          </w:rPr>
          <w:t>authorisation</w:t>
        </w:r>
        <w:proofErr w:type="spellEnd"/>
      </w:hyperlink>
      <w:r w:rsidR="00DD59C4" w:rsidRPr="00B96AC7">
        <w:rPr>
          <w:rFonts w:ascii="Verdana" w:eastAsia="Times New Roman" w:hAnsi="Verdana" w:cs="Times New Roman"/>
          <w:color w:val="000000"/>
          <w:highlight w:val="yellow"/>
        </w:rPr>
        <w:t> procedure for both human and veterinary medicines. The European Parliament and the European Council adopted Regulation (EU) 2019/6 in December 2018.</w:t>
      </w:r>
    </w:p>
    <w:p w14:paraId="48137B1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63"/>
    <w:rsid w:val="00064F63"/>
    <w:rsid w:val="00195B6D"/>
    <w:rsid w:val="00453EED"/>
    <w:rsid w:val="00B96AC7"/>
    <w:rsid w:val="00BE080D"/>
    <w:rsid w:val="00DD5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EB2F7"/>
  <w14:defaultImageDpi w14:val="32767"/>
  <w15:chartTrackingRefBased/>
  <w15:docId w15:val="{37A5C9D6-6A58-BE43-86B3-3710D506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D59C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9C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D59C4"/>
  </w:style>
  <w:style w:type="character" w:customStyle="1" w:styleId="date-display-single">
    <w:name w:val="date-display-single"/>
    <w:basedOn w:val="DefaultParagraphFont"/>
    <w:rsid w:val="00DD59C4"/>
  </w:style>
  <w:style w:type="paragraph" w:styleId="NormalWeb">
    <w:name w:val="Normal (Web)"/>
    <w:basedOn w:val="Normal"/>
    <w:uiPriority w:val="99"/>
    <w:semiHidden/>
    <w:unhideWhenUsed/>
    <w:rsid w:val="00DD59C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D59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138059">
      <w:bodyDiv w:val="1"/>
      <w:marLeft w:val="0"/>
      <w:marRight w:val="0"/>
      <w:marTop w:val="0"/>
      <w:marBottom w:val="0"/>
      <w:divBdr>
        <w:top w:val="none" w:sz="0" w:space="0" w:color="auto"/>
        <w:left w:val="none" w:sz="0" w:space="0" w:color="auto"/>
        <w:bottom w:val="none" w:sz="0" w:space="0" w:color="auto"/>
        <w:right w:val="none" w:sz="0" w:space="0" w:color="auto"/>
      </w:divBdr>
      <w:divsChild>
        <w:div w:id="1443188892">
          <w:marLeft w:val="0"/>
          <w:marRight w:val="0"/>
          <w:marTop w:val="0"/>
          <w:marBottom w:val="0"/>
          <w:divBdr>
            <w:top w:val="none" w:sz="0" w:space="0" w:color="auto"/>
            <w:left w:val="none" w:sz="0" w:space="0" w:color="auto"/>
            <w:bottom w:val="none" w:sz="0" w:space="0" w:color="auto"/>
            <w:right w:val="none" w:sz="0" w:space="0" w:color="auto"/>
          </w:divBdr>
          <w:divsChild>
            <w:div w:id="199326320">
              <w:marLeft w:val="0"/>
              <w:marRight w:val="0"/>
              <w:marTop w:val="0"/>
              <w:marBottom w:val="0"/>
              <w:divBdr>
                <w:top w:val="none" w:sz="0" w:space="0" w:color="auto"/>
                <w:left w:val="none" w:sz="0" w:space="0" w:color="auto"/>
                <w:bottom w:val="none" w:sz="0" w:space="0" w:color="auto"/>
                <w:right w:val="none" w:sz="0" w:space="0" w:color="auto"/>
              </w:divBdr>
            </w:div>
          </w:divsChild>
        </w:div>
        <w:div w:id="264390156">
          <w:marLeft w:val="0"/>
          <w:marRight w:val="0"/>
          <w:marTop w:val="0"/>
          <w:marBottom w:val="0"/>
          <w:divBdr>
            <w:top w:val="none" w:sz="0" w:space="0" w:color="auto"/>
            <w:left w:val="none" w:sz="0" w:space="0" w:color="auto"/>
            <w:bottom w:val="none" w:sz="0" w:space="0" w:color="auto"/>
            <w:right w:val="none" w:sz="0" w:space="0" w:color="auto"/>
          </w:divBdr>
        </w:div>
        <w:div w:id="1429082773">
          <w:marLeft w:val="0"/>
          <w:marRight w:val="0"/>
          <w:marTop w:val="0"/>
          <w:marBottom w:val="0"/>
          <w:divBdr>
            <w:top w:val="none" w:sz="0" w:space="0" w:color="auto"/>
            <w:left w:val="none" w:sz="0" w:space="0" w:color="auto"/>
            <w:bottom w:val="none" w:sz="0" w:space="0" w:color="auto"/>
            <w:right w:val="none" w:sz="0" w:space="0" w:color="auto"/>
          </w:divBdr>
          <w:divsChild>
            <w:div w:id="1613854130">
              <w:marLeft w:val="0"/>
              <w:marRight w:val="0"/>
              <w:marTop w:val="0"/>
              <w:marBottom w:val="0"/>
              <w:divBdr>
                <w:top w:val="none" w:sz="0" w:space="0" w:color="auto"/>
                <w:left w:val="none" w:sz="0" w:space="0" w:color="auto"/>
                <w:bottom w:val="none" w:sz="0" w:space="0" w:color="auto"/>
                <w:right w:val="none" w:sz="0" w:space="0" w:color="auto"/>
              </w:divBdr>
              <w:divsChild>
                <w:div w:id="1837458318">
                  <w:marLeft w:val="0"/>
                  <w:marRight w:val="0"/>
                  <w:marTop w:val="0"/>
                  <w:marBottom w:val="0"/>
                  <w:divBdr>
                    <w:top w:val="none" w:sz="0" w:space="0" w:color="auto"/>
                    <w:left w:val="none" w:sz="0" w:space="0" w:color="auto"/>
                    <w:bottom w:val="none" w:sz="0" w:space="0" w:color="auto"/>
                    <w:right w:val="none" w:sz="0" w:space="0" w:color="auto"/>
                  </w:divBdr>
                  <w:divsChild>
                    <w:div w:id="509376677">
                      <w:marLeft w:val="0"/>
                      <w:marRight w:val="0"/>
                      <w:marTop w:val="0"/>
                      <w:marBottom w:val="0"/>
                      <w:divBdr>
                        <w:top w:val="none" w:sz="0" w:space="0" w:color="auto"/>
                        <w:left w:val="none" w:sz="0" w:space="0" w:color="auto"/>
                        <w:bottom w:val="none" w:sz="0" w:space="0" w:color="auto"/>
                        <w:right w:val="none" w:sz="0" w:space="0" w:color="auto"/>
                      </w:divBdr>
                      <w:divsChild>
                        <w:div w:id="77599256">
                          <w:marLeft w:val="0"/>
                          <w:marRight w:val="0"/>
                          <w:marTop w:val="0"/>
                          <w:marBottom w:val="0"/>
                          <w:divBdr>
                            <w:top w:val="none" w:sz="0" w:space="0" w:color="auto"/>
                            <w:left w:val="none" w:sz="0" w:space="0" w:color="auto"/>
                            <w:bottom w:val="none" w:sz="0" w:space="0" w:color="auto"/>
                            <w:right w:val="none" w:sz="0" w:space="0" w:color="auto"/>
                          </w:divBdr>
                          <w:divsChild>
                            <w:div w:id="1849440343">
                              <w:marLeft w:val="0"/>
                              <w:marRight w:val="0"/>
                              <w:marTop w:val="0"/>
                              <w:marBottom w:val="0"/>
                              <w:divBdr>
                                <w:top w:val="none" w:sz="0" w:space="0" w:color="auto"/>
                                <w:left w:val="none" w:sz="0" w:space="0" w:color="auto"/>
                                <w:bottom w:val="none" w:sz="0" w:space="0" w:color="auto"/>
                                <w:right w:val="none" w:sz="0" w:space="0" w:color="auto"/>
                              </w:divBdr>
                              <w:divsChild>
                                <w:div w:id="246381736">
                                  <w:marLeft w:val="0"/>
                                  <w:marRight w:val="0"/>
                                  <w:marTop w:val="0"/>
                                  <w:marBottom w:val="0"/>
                                  <w:divBdr>
                                    <w:top w:val="none" w:sz="0" w:space="0" w:color="auto"/>
                                    <w:left w:val="none" w:sz="0" w:space="0" w:color="auto"/>
                                    <w:bottom w:val="none" w:sz="0" w:space="0" w:color="auto"/>
                                    <w:right w:val="none" w:sz="0" w:space="0" w:color="auto"/>
                                  </w:divBdr>
                                  <w:divsChild>
                                    <w:div w:id="14950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about-us/who-we-are/veterinary-medicines" TargetMode="External"/><Relationship Id="rId13" Type="http://schemas.openxmlformats.org/officeDocument/2006/relationships/hyperlink" Target="https://eur-lex.europa.eu/legal-content/EN/TXT/?uri=CELEX%3A32001L0082" TargetMode="External"/><Relationship Id="rId3" Type="http://schemas.openxmlformats.org/officeDocument/2006/relationships/webSettings" Target="webSettings.xml"/><Relationship Id="rId7" Type="http://schemas.openxmlformats.org/officeDocument/2006/relationships/hyperlink" Target="https://ec.europa.eu/food/animals/health/veterinary-medicines-and-medicated-feed/imp-regs-2019_en" TargetMode="External"/><Relationship Id="rId12" Type="http://schemas.openxmlformats.org/officeDocument/2006/relationships/hyperlink" Target="http://eur-lex.europa.eu/eli/reg/2019/6/oj"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ma.europa.eu/en/about-us/how-we-work/european-medicines-regulatory-network" TargetMode="External"/><Relationship Id="rId11" Type="http://schemas.openxmlformats.org/officeDocument/2006/relationships/hyperlink" Target="https://www.ema.europa.eu/en/veterinary-regulatory/overview/implementation-new-veterinary-medicines-regulation" TargetMode="External"/><Relationship Id="rId5" Type="http://schemas.openxmlformats.org/officeDocument/2006/relationships/hyperlink" Target="https://eur-lex.europa.eu/eli/reg/2019/6/oj" TargetMode="External"/><Relationship Id="rId15" Type="http://schemas.openxmlformats.org/officeDocument/2006/relationships/hyperlink" Target="https://www.ema.europa.eu/en/glossary/marketing-authorisation" TargetMode="External"/><Relationship Id="rId10" Type="http://schemas.openxmlformats.org/officeDocument/2006/relationships/hyperlink" Target="https://www.ema.europa.eu/en/committees/committee-medicinal-products-veterinary-use-cvmp" TargetMode="External"/><Relationship Id="rId4" Type="http://schemas.openxmlformats.org/officeDocument/2006/relationships/hyperlink" Target="https://www.ema.europa.eu/en/veterinary-regulatory/overview/implementation-new-veterinary-medicines-regulation" TargetMode="External"/><Relationship Id="rId9" Type="http://schemas.openxmlformats.org/officeDocument/2006/relationships/hyperlink" Target="https://www.ema.europa.eu/en/about-us/brexit-uk-withdrawal-eu/relocation-amsterdam" TargetMode="External"/><Relationship Id="rId14" Type="http://schemas.openxmlformats.org/officeDocument/2006/relationships/hyperlink" Target="https://eur-lex.europa.eu/legal-content/EN/TXT/?uri=CELEX:02004R0726-201306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2020-02-18T10:48:00Z</dcterms:created>
  <dcterms:modified xsi:type="dcterms:W3CDTF">2020-05-11T11:19:00Z</dcterms:modified>
</cp:coreProperties>
</file>