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4DC7" w14:textId="77777777" w:rsidR="00CB42E4" w:rsidRPr="00CB42E4" w:rsidRDefault="00CB42E4" w:rsidP="00CB42E4">
      <w:pPr>
        <w:outlineLvl w:val="0"/>
        <w:rPr>
          <w:rFonts w:ascii="Verdana" w:eastAsia="Times New Roman" w:hAnsi="Verdana" w:cs="Times New Roman"/>
          <w:color w:val="000000"/>
          <w:kern w:val="36"/>
          <w:sz w:val="48"/>
          <w:szCs w:val="48"/>
        </w:rPr>
      </w:pPr>
      <w:r w:rsidRPr="00CB42E4">
        <w:rPr>
          <w:rFonts w:ascii="Verdana" w:eastAsia="Times New Roman" w:hAnsi="Verdana" w:cs="Times New Roman"/>
          <w:color w:val="000000"/>
          <w:kern w:val="36"/>
          <w:sz w:val="48"/>
          <w:szCs w:val="48"/>
        </w:rPr>
        <w:t>Meeting highlights from the Committee for Medicinal Products for Human Use (CHMP) 16-19 September 2019</w:t>
      </w:r>
    </w:p>
    <w:p w14:paraId="0DC0D3AA" w14:textId="77777777" w:rsidR="00CB42E4" w:rsidRPr="00CB42E4" w:rsidRDefault="00CB42E4" w:rsidP="00CB42E4">
      <w:pPr>
        <w:rPr>
          <w:rFonts w:ascii="Times New Roman" w:eastAsia="Times New Roman" w:hAnsi="Times New Roman" w:cs="Times New Roman"/>
        </w:rPr>
      </w:pPr>
      <w:r w:rsidRPr="00CB42E4">
        <w:rPr>
          <w:rFonts w:ascii="Verdana" w:eastAsia="Times New Roman" w:hAnsi="Verdana" w:cs="Times New Roman"/>
          <w:color w:val="000000"/>
        </w:rPr>
        <w:t> </w:t>
      </w:r>
    </w:p>
    <w:p w14:paraId="3984EAB6" w14:textId="77777777" w:rsidR="00CB42E4" w:rsidRPr="00CB42E4" w:rsidRDefault="00CB42E4" w:rsidP="00CB42E4">
      <w:pPr>
        <w:rPr>
          <w:rFonts w:ascii="Verdana" w:eastAsia="Times New Roman" w:hAnsi="Verdana" w:cs="Times New Roman"/>
          <w:color w:val="000000"/>
        </w:rPr>
      </w:pPr>
      <w:r w:rsidRPr="00CB42E4">
        <w:rPr>
          <w:rFonts w:ascii="Verdana" w:eastAsia="Times New Roman" w:hAnsi="Verdana" w:cs="Times New Roman"/>
          <w:color w:val="000000"/>
        </w:rPr>
        <w:t>Share</w:t>
      </w:r>
    </w:p>
    <w:p w14:paraId="3B2D2CAC" w14:textId="77777777" w:rsidR="00CB42E4" w:rsidRPr="00CB42E4" w:rsidRDefault="00CB42E4" w:rsidP="00CB42E4">
      <w:pPr>
        <w:rPr>
          <w:rFonts w:ascii="Verdana" w:eastAsia="Times New Roman" w:hAnsi="Verdana" w:cs="Times New Roman"/>
          <w:color w:val="000000"/>
        </w:rPr>
      </w:pPr>
      <w:r w:rsidRPr="00CB42E4">
        <w:rPr>
          <w:rFonts w:ascii="Verdana" w:eastAsia="Times New Roman" w:hAnsi="Verdana" w:cs="Times New Roman"/>
          <w:color w:val="000000"/>
        </w:rPr>
        <w:t>News 20/09/2019</w:t>
      </w:r>
    </w:p>
    <w:p w14:paraId="4F17932E" w14:textId="77777777" w:rsidR="00CB42E4" w:rsidRPr="00CB42E4" w:rsidRDefault="00CB42E4" w:rsidP="00CB42E4">
      <w:pPr>
        <w:spacing w:before="100" w:beforeAutospacing="1" w:after="100" w:afterAutospacing="1"/>
        <w:outlineLvl w:val="3"/>
        <w:rPr>
          <w:rFonts w:ascii="Verdana" w:eastAsia="Times New Roman" w:hAnsi="Verdana" w:cs="Times New Roman"/>
          <w:b/>
          <w:bCs/>
          <w:color w:val="404040"/>
        </w:rPr>
      </w:pPr>
      <w:r w:rsidRPr="00CB42E4">
        <w:rPr>
          <w:rFonts w:ascii="Verdana" w:eastAsia="Times New Roman" w:hAnsi="Verdana" w:cs="Times New Roman"/>
          <w:b/>
          <w:bCs/>
          <w:color w:val="404040"/>
        </w:rPr>
        <w:t>Seven new medicines recommended for approval</w:t>
      </w:r>
    </w:p>
    <w:p w14:paraId="56763D9A"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B42E4">
          <w:rPr>
            <w:rFonts w:ascii="Verdana" w:eastAsia="Times New Roman" w:hAnsi="Verdana" w:cs="Times New Roman"/>
            <w:color w:val="000000"/>
            <w:u w:val="single"/>
          </w:rPr>
          <w:t>CHMP</w:t>
        </w:r>
      </w:hyperlink>
      <w:r w:rsidRPr="00CB42E4">
        <w:rPr>
          <w:rFonts w:ascii="Verdana" w:eastAsia="Times New Roman" w:hAnsi="Verdana" w:cs="Times New Roman"/>
          <w:color w:val="000000"/>
        </w:rPr>
        <w:t>) recommended seven medicines for approval at its September 2019 meeting.</w:t>
      </w:r>
    </w:p>
    <w:p w14:paraId="11261A62"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The Committee recommended granting a </w:t>
      </w:r>
      <w:hyperlink r:id="rId5" w:tgtFrame="_blank" w:tooltip="The approval to market a medicine in one, several or all European Union Member States." w:history="1">
        <w:r w:rsidRPr="00CB42E4">
          <w:rPr>
            <w:rFonts w:ascii="Verdana" w:eastAsia="Times New Roman" w:hAnsi="Verdana" w:cs="Times New Roman"/>
            <w:color w:val="000000"/>
            <w:u w:val="single"/>
          </w:rPr>
          <w:t>marketing authorisation</w:t>
        </w:r>
      </w:hyperlink>
      <w:r w:rsidRPr="00CB42E4">
        <w:rPr>
          <w:rFonts w:ascii="Verdana" w:eastAsia="Times New Roman" w:hAnsi="Verdana" w:cs="Times New Roman"/>
          <w:color w:val="000000"/>
        </w:rPr>
        <w:t> for </w:t>
      </w:r>
      <w:r w:rsidRPr="00CB42E4">
        <w:rPr>
          <w:rFonts w:ascii="Verdana" w:eastAsia="Times New Roman" w:hAnsi="Verdana" w:cs="Times New Roman"/>
          <w:b/>
          <w:bCs/>
          <w:color w:val="000000"/>
        </w:rPr>
        <w:t>Xospata</w:t>
      </w:r>
      <w:r w:rsidRPr="00CB42E4">
        <w:rPr>
          <w:rFonts w:ascii="Verdana" w:eastAsia="Times New Roman" w:hAnsi="Verdana" w:cs="Times New Roman"/>
          <w:color w:val="000000"/>
          <w:vertAlign w:val="superscript"/>
        </w:rPr>
        <w:t>*</w:t>
      </w:r>
      <w:r w:rsidRPr="00CB42E4">
        <w:rPr>
          <w:rFonts w:ascii="Verdana" w:eastAsia="Times New Roman" w:hAnsi="Verdana" w:cs="Times New Roman"/>
          <w:color w:val="000000"/>
        </w:rPr>
        <w:t> (gilteritinib) for the treatment of adult patients who have relapsed or refractory acute myeloid leukaemia (AML) with a FLT3 mutation. AML is a rare type of cancer of the white blood cells (cells that fight infections). It affects approximately 1 in 10,000 people in the European Union. Xospata was reviewed under EMA's </w:t>
      </w:r>
      <w:hyperlink r:id="rId6" w:tgtFrame="_blank" w:tooltip="Rapid assessment of medicines in the centralised procedure that are of major interest for public health, especially ones that are therapeutic innovations. Accelerated assessment usually takes 150 evaluation days, rather than 210. &#13; &#13; More information can be found under 'Accelerated assessment'." w:history="1">
        <w:r w:rsidRPr="00CB42E4">
          <w:rPr>
            <w:rFonts w:ascii="Verdana" w:eastAsia="Times New Roman" w:hAnsi="Verdana" w:cs="Times New Roman"/>
            <w:color w:val="000000"/>
            <w:u w:val="single"/>
          </w:rPr>
          <w:t>accelerated assessment</w:t>
        </w:r>
      </w:hyperlink>
      <w:r w:rsidRPr="00CB42E4">
        <w:rPr>
          <w:rFonts w:ascii="Verdana" w:eastAsia="Times New Roman" w:hAnsi="Verdana" w:cs="Times New Roman"/>
          <w:color w:val="000000"/>
        </w:rPr>
        <w:t> procedure, reserved for medicines of major public health interest.</w:t>
      </w:r>
    </w:p>
    <w:p w14:paraId="7DCEE87B"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b/>
          <w:bCs/>
          <w:color w:val="000000"/>
        </w:rPr>
        <w:t>Qtrilmet</w:t>
      </w:r>
      <w:r w:rsidRPr="00CB42E4">
        <w:rPr>
          <w:rFonts w:ascii="Verdana" w:eastAsia="Times New Roman" w:hAnsi="Verdana" w:cs="Times New Roman"/>
          <w:color w:val="000000"/>
        </w:rPr>
        <w:t> (metformin hydrochloride / saxagliptin / dapagliflozin) received a positive opinion from the </w:t>
      </w:r>
      <w:hyperlink r:id="rId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B42E4">
          <w:rPr>
            <w:rFonts w:ascii="Verdana" w:eastAsia="Times New Roman" w:hAnsi="Verdana" w:cs="Times New Roman"/>
            <w:color w:val="000000"/>
            <w:u w:val="single"/>
          </w:rPr>
          <w:t>CHMP</w:t>
        </w:r>
      </w:hyperlink>
      <w:r w:rsidRPr="00CB42E4">
        <w:rPr>
          <w:rFonts w:ascii="Verdana" w:eastAsia="Times New Roman" w:hAnsi="Verdana" w:cs="Times New Roman"/>
          <w:color w:val="000000"/>
        </w:rPr>
        <w:t> for the treatment of type 2 diabetes mellitus.</w:t>
      </w:r>
    </w:p>
    <w:p w14:paraId="05B9B072"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The </w:t>
      </w:r>
      <w:hyperlink r:id="rId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B42E4">
          <w:rPr>
            <w:rFonts w:ascii="Verdana" w:eastAsia="Times New Roman" w:hAnsi="Verdana" w:cs="Times New Roman"/>
            <w:color w:val="000000"/>
            <w:u w:val="single"/>
          </w:rPr>
          <w:t>CHMP</w:t>
        </w:r>
      </w:hyperlink>
      <w:r w:rsidRPr="00CB42E4">
        <w:rPr>
          <w:rFonts w:ascii="Verdana" w:eastAsia="Times New Roman" w:hAnsi="Verdana" w:cs="Times New Roman"/>
          <w:color w:val="000000"/>
        </w:rPr>
        <w:t> recommended granting a </w:t>
      </w:r>
      <w:hyperlink r:id="rId9" w:tgtFrame="_blank" w:tooltip="The approval to market a medicine in one, several or all European Union Member States." w:history="1">
        <w:r w:rsidRPr="00CB42E4">
          <w:rPr>
            <w:rFonts w:ascii="Verdana" w:eastAsia="Times New Roman" w:hAnsi="Verdana" w:cs="Times New Roman"/>
            <w:color w:val="000000"/>
            <w:u w:val="single"/>
          </w:rPr>
          <w:t>marketing authorisation</w:t>
        </w:r>
      </w:hyperlink>
      <w:r w:rsidRPr="00CB42E4">
        <w:rPr>
          <w:rFonts w:ascii="Verdana" w:eastAsia="Times New Roman" w:hAnsi="Verdana" w:cs="Times New Roman"/>
          <w:color w:val="000000"/>
        </w:rPr>
        <w:t> for </w:t>
      </w:r>
      <w:r w:rsidRPr="00CB42E4">
        <w:rPr>
          <w:rFonts w:ascii="Verdana" w:eastAsia="Times New Roman" w:hAnsi="Verdana" w:cs="Times New Roman"/>
          <w:b/>
          <w:bCs/>
          <w:color w:val="000000"/>
        </w:rPr>
        <w:t>Rhokiinsa </w:t>
      </w:r>
      <w:r w:rsidRPr="00CB42E4">
        <w:rPr>
          <w:rFonts w:ascii="Verdana" w:eastAsia="Times New Roman" w:hAnsi="Verdana" w:cs="Times New Roman"/>
          <w:color w:val="000000"/>
        </w:rPr>
        <w:t>(netarsudil) for the treatment of patients with glaucoma or ocular hypertension.</w:t>
      </w:r>
    </w:p>
    <w:p w14:paraId="3FB2BF55"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b/>
          <w:bCs/>
          <w:color w:val="000000"/>
        </w:rPr>
        <w:t>Senstend </w:t>
      </w:r>
      <w:r w:rsidRPr="00CB42E4">
        <w:rPr>
          <w:rFonts w:ascii="Verdana" w:eastAsia="Times New Roman" w:hAnsi="Verdana" w:cs="Times New Roman"/>
          <w:color w:val="000000"/>
        </w:rPr>
        <w:t>(lidocaine / prilocaine), which was evaluated in an </w:t>
      </w:r>
      <w:hyperlink r:id="rId10" w:tgtFrame="_blank" w:tooltip="An application where the reference medicine's marketing authorisation holder has consented to the use of the reference medicine's data for the application." w:history="1">
        <w:r w:rsidRPr="00CB42E4">
          <w:rPr>
            <w:rFonts w:ascii="Verdana" w:eastAsia="Times New Roman" w:hAnsi="Verdana" w:cs="Times New Roman"/>
            <w:color w:val="000000"/>
            <w:u w:val="single"/>
          </w:rPr>
          <w:t>informed consent application</w:t>
        </w:r>
      </w:hyperlink>
      <w:r w:rsidRPr="00CB42E4">
        <w:rPr>
          <w:rFonts w:ascii="Verdana" w:eastAsia="Times New Roman" w:hAnsi="Verdana" w:cs="Times New Roman"/>
          <w:color w:val="000000"/>
        </w:rPr>
        <w:t>, received a positive opinion for the treatment of premature ejaculation in adult men. An </w:t>
      </w:r>
      <w:hyperlink r:id="rId11" w:tgtFrame="_blank" w:tooltip="An application where the reference medicine's marketing authorisation holder has consented to the use of the reference medicine's data for the application." w:history="1">
        <w:r w:rsidRPr="00CB42E4">
          <w:rPr>
            <w:rFonts w:ascii="Verdana" w:eastAsia="Times New Roman" w:hAnsi="Verdana" w:cs="Times New Roman"/>
            <w:color w:val="000000"/>
            <w:u w:val="single"/>
          </w:rPr>
          <w:t>informed consent application</w:t>
        </w:r>
      </w:hyperlink>
      <w:r w:rsidRPr="00CB42E4">
        <w:rPr>
          <w:rFonts w:ascii="Verdana" w:eastAsia="Times New Roman" w:hAnsi="Verdana" w:cs="Times New Roman"/>
          <w:color w:val="000000"/>
        </w:rPr>
        <w:t> makes use of data from the dossier of a previously authorised medicine, with the </w:t>
      </w:r>
      <w:hyperlink r:id="rId12" w:tgtFrame="_blank" w:tooltip="The company or other legal entity that has the authorisation to market a medicine in one, several or all European Union Member States." w:history="1">
        <w:r w:rsidRPr="00CB42E4">
          <w:rPr>
            <w:rFonts w:ascii="Verdana" w:eastAsia="Times New Roman" w:hAnsi="Verdana" w:cs="Times New Roman"/>
            <w:color w:val="000000"/>
            <w:u w:val="single"/>
          </w:rPr>
          <w:t>marketing authorisation holder</w:t>
        </w:r>
      </w:hyperlink>
      <w:r w:rsidRPr="00CB42E4">
        <w:rPr>
          <w:rFonts w:ascii="Verdana" w:eastAsia="Times New Roman" w:hAnsi="Verdana" w:cs="Times New Roman"/>
          <w:color w:val="000000"/>
        </w:rPr>
        <w:t> of that medicine giving consent for the use of their data in the application.</w:t>
      </w:r>
    </w:p>
    <w:p w14:paraId="47630961"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The </w:t>
      </w:r>
      <w:hyperlink r:id="rId13"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B42E4">
          <w:rPr>
            <w:rFonts w:ascii="Verdana" w:eastAsia="Times New Roman" w:hAnsi="Verdana" w:cs="Times New Roman"/>
            <w:color w:val="000000"/>
            <w:u w:val="single"/>
          </w:rPr>
          <w:t>CHMP</w:t>
        </w:r>
      </w:hyperlink>
      <w:r w:rsidRPr="00CB42E4">
        <w:rPr>
          <w:rFonts w:ascii="Verdana" w:eastAsia="Times New Roman" w:hAnsi="Verdana" w:cs="Times New Roman"/>
          <w:color w:val="000000"/>
        </w:rPr>
        <w:t> recommended granting </w:t>
      </w:r>
      <w:hyperlink r:id="rId14" w:tgtFrame="_blank" w:tooltip="The approval to market a medicine in one, several or all European Union Member States." w:history="1">
        <w:r w:rsidRPr="00CB42E4">
          <w:rPr>
            <w:rFonts w:ascii="Verdana" w:eastAsia="Times New Roman" w:hAnsi="Verdana" w:cs="Times New Roman"/>
            <w:color w:val="000000"/>
            <w:u w:val="single"/>
          </w:rPr>
          <w:t>marketing authorisations</w:t>
        </w:r>
      </w:hyperlink>
      <w:r w:rsidRPr="00CB42E4">
        <w:rPr>
          <w:rFonts w:ascii="Verdana" w:eastAsia="Times New Roman" w:hAnsi="Verdana" w:cs="Times New Roman"/>
          <w:color w:val="000000"/>
        </w:rPr>
        <w:t> for three </w:t>
      </w:r>
      <w:hyperlink r:id="rId15" w:tgtFrame="_blank" w:tooltip="A generic medicine is a medicine that is developed to be the same as a medicine that has already been authorised. Its authorisation is based on efficacy and safety data from studies on the authorised medicine. A company can only market a generic medicine once the 10-year exclusivity period for the original medicine has expired. &#13; &#13; More information can be found under Generic and hybrid medicines" w:history="1">
        <w:r w:rsidRPr="00CB42E4">
          <w:rPr>
            <w:rFonts w:ascii="Verdana" w:eastAsia="Times New Roman" w:hAnsi="Verdana" w:cs="Times New Roman"/>
            <w:color w:val="000000"/>
            <w:u w:val="single"/>
          </w:rPr>
          <w:t>generic medicines</w:t>
        </w:r>
      </w:hyperlink>
      <w:r w:rsidRPr="00CB42E4">
        <w:rPr>
          <w:rFonts w:ascii="Verdana" w:eastAsia="Times New Roman" w:hAnsi="Verdana" w:cs="Times New Roman"/>
          <w:color w:val="000000"/>
        </w:rPr>
        <w:t>: </w:t>
      </w:r>
      <w:r w:rsidRPr="00CB42E4">
        <w:rPr>
          <w:rFonts w:ascii="Verdana" w:eastAsia="Times New Roman" w:hAnsi="Verdana" w:cs="Times New Roman"/>
          <w:b/>
          <w:bCs/>
          <w:color w:val="000000"/>
        </w:rPr>
        <w:t>Arsenic trioxide Accord</w:t>
      </w:r>
      <w:r w:rsidRPr="00CB42E4">
        <w:rPr>
          <w:rFonts w:ascii="Verdana" w:eastAsia="Times New Roman" w:hAnsi="Verdana" w:cs="Times New Roman"/>
          <w:color w:val="000000"/>
        </w:rPr>
        <w:t> (arsenic trioxide), for the treatment of acute promyelocytic leukaemia; </w:t>
      </w:r>
      <w:r w:rsidRPr="00CB42E4">
        <w:rPr>
          <w:rFonts w:ascii="Verdana" w:eastAsia="Times New Roman" w:hAnsi="Verdana" w:cs="Times New Roman"/>
          <w:b/>
          <w:bCs/>
          <w:color w:val="000000"/>
        </w:rPr>
        <w:t>Bortezomib Fresenius Kabi</w:t>
      </w:r>
      <w:r w:rsidRPr="00CB42E4">
        <w:rPr>
          <w:rFonts w:ascii="Verdana" w:eastAsia="Times New Roman" w:hAnsi="Verdana" w:cs="Times New Roman"/>
          <w:color w:val="000000"/>
        </w:rPr>
        <w:t xml:space="preserve">(bortezomib), for the treatment of multiple myeloma and mantle cell lymphoma; </w:t>
      </w:r>
      <w:r w:rsidRPr="00CB42E4">
        <w:rPr>
          <w:rFonts w:ascii="Verdana" w:eastAsia="Times New Roman" w:hAnsi="Verdana" w:cs="Times New Roman"/>
          <w:color w:val="000000"/>
        </w:rPr>
        <w:lastRenderedPageBreak/>
        <w:t>and </w:t>
      </w:r>
      <w:r w:rsidRPr="00CB42E4">
        <w:rPr>
          <w:rFonts w:ascii="Verdana" w:eastAsia="Times New Roman" w:hAnsi="Verdana" w:cs="Times New Roman"/>
          <w:b/>
          <w:bCs/>
          <w:color w:val="000000"/>
        </w:rPr>
        <w:t>Ivozall</w:t>
      </w:r>
      <w:r w:rsidRPr="00CB42E4">
        <w:rPr>
          <w:rFonts w:ascii="Verdana" w:eastAsia="Times New Roman" w:hAnsi="Verdana" w:cs="Times New Roman"/>
          <w:color w:val="000000"/>
        </w:rPr>
        <w:t> (clofarabine), for the treatment of acute lymphoblastic leukaemia in paediatric patients.</w:t>
      </w:r>
    </w:p>
    <w:p w14:paraId="3D6B9E7D" w14:textId="77777777" w:rsidR="00CB42E4" w:rsidRPr="00CB42E4" w:rsidRDefault="00CB42E4" w:rsidP="00CB42E4">
      <w:pPr>
        <w:spacing w:before="100" w:beforeAutospacing="1" w:after="100" w:afterAutospacing="1"/>
        <w:outlineLvl w:val="3"/>
        <w:rPr>
          <w:rFonts w:ascii="Verdana" w:eastAsia="Times New Roman" w:hAnsi="Verdana" w:cs="Times New Roman"/>
          <w:b/>
          <w:bCs/>
          <w:color w:val="404040"/>
        </w:rPr>
      </w:pPr>
      <w:r w:rsidRPr="00CB42E4">
        <w:rPr>
          <w:rFonts w:ascii="Verdana" w:eastAsia="Times New Roman" w:hAnsi="Verdana" w:cs="Times New Roman"/>
          <w:b/>
          <w:bCs/>
          <w:color w:val="404040"/>
        </w:rPr>
        <w:t>Eight recommendations on extensions of therapeutic indication</w:t>
      </w:r>
    </w:p>
    <w:p w14:paraId="64ABE97D"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The Committee recommended extensions of </w:t>
      </w:r>
      <w:hyperlink r:id="rId16" w:tgtFrame="_blank" w:tooltip="A medical condition that a medicine is used for. This can include the treatment, prevention and diagnosis of a disease." w:history="1">
        <w:r w:rsidRPr="00CB42E4">
          <w:rPr>
            <w:rFonts w:ascii="Verdana" w:eastAsia="Times New Roman" w:hAnsi="Verdana" w:cs="Times New Roman"/>
            <w:color w:val="000000"/>
            <w:u w:val="single"/>
          </w:rPr>
          <w:t>indication</w:t>
        </w:r>
      </w:hyperlink>
      <w:r w:rsidRPr="00CB42E4">
        <w:rPr>
          <w:rFonts w:ascii="Verdana" w:eastAsia="Times New Roman" w:hAnsi="Verdana" w:cs="Times New Roman"/>
          <w:color w:val="000000"/>
        </w:rPr>
        <w:t> for </w:t>
      </w:r>
      <w:r w:rsidRPr="00CB42E4">
        <w:rPr>
          <w:rFonts w:ascii="Verdana" w:eastAsia="Times New Roman" w:hAnsi="Verdana" w:cs="Times New Roman"/>
          <w:b/>
          <w:bCs/>
          <w:color w:val="000000"/>
        </w:rPr>
        <w:t>Bavencio, Benlysta, Docetaxel Zentiva, Dupixent, Lucentis, Remsima, Taxotere and Trulicity. </w:t>
      </w:r>
    </w:p>
    <w:p w14:paraId="32295693" w14:textId="77777777" w:rsidR="00CB42E4" w:rsidRPr="00CB42E4" w:rsidRDefault="00CB42E4" w:rsidP="00CB42E4">
      <w:pPr>
        <w:spacing w:before="100" w:beforeAutospacing="1" w:after="100" w:afterAutospacing="1"/>
        <w:outlineLvl w:val="3"/>
        <w:rPr>
          <w:rFonts w:ascii="Verdana" w:eastAsia="Times New Roman" w:hAnsi="Verdana" w:cs="Times New Roman"/>
          <w:b/>
          <w:bCs/>
          <w:color w:val="404040"/>
        </w:rPr>
      </w:pPr>
      <w:r w:rsidRPr="00CB42E4">
        <w:rPr>
          <w:rFonts w:ascii="Verdana" w:eastAsia="Times New Roman" w:hAnsi="Verdana" w:cs="Times New Roman"/>
          <w:b/>
          <w:bCs/>
          <w:color w:val="404040"/>
        </w:rPr>
        <w:t>Agenda and minutes</w:t>
      </w:r>
    </w:p>
    <w:p w14:paraId="76EB0A09"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The agenda of the September 2019 meeting is published on EMA's website. Minutes of the July 2019 </w:t>
      </w:r>
      <w:hyperlink r:id="rId1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B42E4">
          <w:rPr>
            <w:rFonts w:ascii="Verdana" w:eastAsia="Times New Roman" w:hAnsi="Verdana" w:cs="Times New Roman"/>
            <w:color w:val="000000"/>
            <w:u w:val="single"/>
          </w:rPr>
          <w:t>CHMP</w:t>
        </w:r>
      </w:hyperlink>
      <w:r w:rsidRPr="00CB42E4">
        <w:rPr>
          <w:rFonts w:ascii="Verdana" w:eastAsia="Times New Roman" w:hAnsi="Verdana" w:cs="Times New Roman"/>
          <w:color w:val="000000"/>
        </w:rPr>
        <w:t>meeting will be published in the coming weeks.</w:t>
      </w:r>
    </w:p>
    <w:p w14:paraId="31ECE3CC" w14:textId="77777777" w:rsidR="00CB42E4" w:rsidRPr="00CB42E4" w:rsidRDefault="00CB42E4" w:rsidP="00CB42E4">
      <w:pPr>
        <w:spacing w:before="100" w:beforeAutospacing="1" w:after="100" w:afterAutospacing="1"/>
        <w:outlineLvl w:val="3"/>
        <w:rPr>
          <w:rFonts w:ascii="Verdana" w:eastAsia="Times New Roman" w:hAnsi="Verdana" w:cs="Times New Roman"/>
          <w:b/>
          <w:bCs/>
          <w:color w:val="404040"/>
        </w:rPr>
      </w:pPr>
      <w:r w:rsidRPr="00CB42E4">
        <w:rPr>
          <w:rFonts w:ascii="Verdana" w:eastAsia="Times New Roman" w:hAnsi="Verdana" w:cs="Times New Roman"/>
          <w:b/>
          <w:bCs/>
          <w:color w:val="404040"/>
        </w:rPr>
        <w:t>CHMP statistics</w:t>
      </w:r>
    </w:p>
    <w:p w14:paraId="67EBCB92"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rPr>
        <w:t>Key figures from the September 2019 </w:t>
      </w:r>
      <w:hyperlink r:id="rId1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B42E4">
          <w:rPr>
            <w:rFonts w:ascii="Verdana" w:eastAsia="Times New Roman" w:hAnsi="Verdana" w:cs="Times New Roman"/>
            <w:color w:val="000000"/>
            <w:u w:val="single"/>
          </w:rPr>
          <w:t>CHMP</w:t>
        </w:r>
      </w:hyperlink>
      <w:r w:rsidRPr="00CB42E4">
        <w:rPr>
          <w:rFonts w:ascii="Verdana" w:eastAsia="Times New Roman" w:hAnsi="Verdana" w:cs="Times New Roman"/>
          <w:color w:val="000000"/>
        </w:rPr>
        <w:t> meeting are represented in the graphic below.</w:t>
      </w:r>
    </w:p>
    <w:p w14:paraId="5BED7E4C" w14:textId="77777777" w:rsidR="00CB42E4" w:rsidRPr="00CB42E4" w:rsidRDefault="00CB42E4" w:rsidP="00CB42E4">
      <w:pPr>
        <w:spacing w:beforeAutospacing="1" w:afterAutospacing="1"/>
        <w:rPr>
          <w:rFonts w:ascii="Verdana" w:eastAsia="Times New Roman" w:hAnsi="Verdana" w:cs="Times New Roman"/>
          <w:color w:val="000000"/>
        </w:rPr>
      </w:pPr>
      <w:r w:rsidRPr="00CB42E4">
        <w:rPr>
          <w:rFonts w:ascii="Verdana" w:eastAsia="Times New Roman" w:hAnsi="Verdana" w:cs="Times New Roman"/>
          <w:color w:val="000000"/>
          <w:vertAlign w:val="superscript"/>
        </w:rPr>
        <w:t>*</w:t>
      </w:r>
      <w:r w:rsidRPr="00CB42E4">
        <w:rPr>
          <w:rFonts w:ascii="Verdana" w:eastAsia="Times New Roman" w:hAnsi="Verdana" w:cs="Times New Roman"/>
          <w:color w:val="000000"/>
        </w:rPr>
        <w:t>This product was designated as an </w:t>
      </w:r>
      <w:hyperlink r:id="rId19" w:tgtFrame="_blank" w:tooltip="A medicine for the diagnosis, prevention or treatment of a life-threatening or chronically debilitating condition that is rare (affecting not more than five in 10,000 people in the European Union) or where the medicine is unlikely to generate sufficient profit to justify research and development costs. &#13; &#13; More information can be found under 'Orphan designation -  Overview'." w:history="1">
        <w:r w:rsidRPr="00CB42E4">
          <w:rPr>
            <w:rFonts w:ascii="Verdana" w:eastAsia="Times New Roman" w:hAnsi="Verdana" w:cs="Times New Roman"/>
            <w:color w:val="000000"/>
            <w:u w:val="single"/>
          </w:rPr>
          <w:t>orphan medicine</w:t>
        </w:r>
      </w:hyperlink>
      <w:r w:rsidRPr="00CB42E4">
        <w:rPr>
          <w:rFonts w:ascii="Verdana" w:eastAsia="Times New Roman" w:hAnsi="Verdana" w:cs="Times New Roman"/>
          <w:color w:val="000000"/>
        </w:rPr>
        <w:t> during its development. </w:t>
      </w:r>
      <w:hyperlink r:id="rId20" w:tgtFrame="_blank" w:tooltip="A status assigned to a medicine intended for use against a rare condition. The medicine must fulfil certain criteria for designation as an orphan medicine so that it can benefit from incentives such as protection from competition once on the market. &#13; &#13; More information can be found under 'Orphan designation -  Overview'." w:history="1">
        <w:r w:rsidRPr="00CB42E4">
          <w:rPr>
            <w:rFonts w:ascii="Verdana" w:eastAsia="Times New Roman" w:hAnsi="Verdana" w:cs="Times New Roman"/>
            <w:color w:val="000000"/>
            <w:u w:val="single"/>
          </w:rPr>
          <w:t>Orphan designations</w:t>
        </w:r>
      </w:hyperlink>
      <w:r w:rsidRPr="00CB42E4">
        <w:rPr>
          <w:rFonts w:ascii="Verdana" w:eastAsia="Times New Roman" w:hAnsi="Verdana" w:cs="Times New Roman"/>
          <w:color w:val="000000"/>
        </w:rPr>
        <w:t> are reviewed by EMA's </w:t>
      </w:r>
      <w:hyperlink r:id="rId21" w:tgtFrame="_blank" w:tooltip="The committee that is responsible for reviewing applications for orphan designation for medicines that are intended for the diagnosis, prevention or treatment of rare diseases. Abbreviated as COMP. &#13; &#13; More information can be found under 'Committee for Orphan Medicinal Products (COMP)'." w:history="1">
        <w:r w:rsidRPr="00CB42E4">
          <w:rPr>
            <w:rFonts w:ascii="Verdana" w:eastAsia="Times New Roman" w:hAnsi="Verdana" w:cs="Times New Roman"/>
            <w:color w:val="000000"/>
            <w:u w:val="single"/>
          </w:rPr>
          <w:t>Committee for Orphan Medicinal Products</w:t>
        </w:r>
      </w:hyperlink>
      <w:r w:rsidRPr="00CB42E4">
        <w:rPr>
          <w:rFonts w:ascii="Verdana" w:eastAsia="Times New Roman" w:hAnsi="Verdana" w:cs="Times New Roman"/>
          <w:color w:val="000000"/>
        </w:rPr>
        <w:t> (</w:t>
      </w:r>
      <w:hyperlink r:id="rId22" w:tgtFrame="_blank" w:tooltip="Committee for Orphan Medicinal Products -  the committee that is responsible for reviewing applications for orphan designation for medicines that are intended for the diagnosis, prevention or treatment of rare diseases. &#13; &#13; More information can be found under 'Committee for Orphan Medicinal Products (COMP)'." w:history="1">
        <w:r w:rsidRPr="00CB42E4">
          <w:rPr>
            <w:rFonts w:ascii="Verdana" w:eastAsia="Times New Roman" w:hAnsi="Verdana" w:cs="Times New Roman"/>
            <w:color w:val="000000"/>
            <w:u w:val="single"/>
          </w:rPr>
          <w:t>COMP</w:t>
        </w:r>
      </w:hyperlink>
      <w:r w:rsidRPr="00CB42E4">
        <w:rPr>
          <w:rFonts w:ascii="Verdana" w:eastAsia="Times New Roman" w:hAnsi="Verdana" w:cs="Times New Roman"/>
          <w:color w:val="000000"/>
        </w:rPr>
        <w:t>) at the time of approval to determine whether the information available to date allows maintaining the medicine's orphan status and granting the medicine ten years of </w:t>
      </w:r>
      <w:hyperlink r:id="rId23" w:tgtFrame="_blank" w:tooltip="The 10-year period after the marketing authorisation of an orphan medicine when similar medicines for the same indication cannot be placed on the market. &#13; &#13; More information can be found under 'Marketing authorisation and market exclusivity'." w:history="1">
        <w:r w:rsidRPr="00CB42E4">
          <w:rPr>
            <w:rFonts w:ascii="Verdana" w:eastAsia="Times New Roman" w:hAnsi="Verdana" w:cs="Times New Roman"/>
            <w:color w:val="000000"/>
            <w:u w:val="single"/>
          </w:rPr>
          <w:t>market exclusivity</w:t>
        </w:r>
      </w:hyperlink>
      <w:r w:rsidRPr="00CB42E4">
        <w:rPr>
          <w:rFonts w:ascii="Verdana" w:eastAsia="Times New Roman" w:hAnsi="Verdana" w:cs="Times New Roman"/>
          <w:color w:val="000000"/>
        </w:rPr>
        <w:t>.</w:t>
      </w:r>
    </w:p>
    <w:p w14:paraId="0EB40FC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1D"/>
    <w:rsid w:val="00453EED"/>
    <w:rsid w:val="00BE080D"/>
    <w:rsid w:val="00CB42E4"/>
    <w:rsid w:val="00E5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3DC91"/>
  <w14:defaultImageDpi w14:val="32767"/>
  <w15:chartTrackingRefBased/>
  <w15:docId w15:val="{8E05A4A1-59E1-CA4F-A138-79E3D800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B42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B42E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E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B42E4"/>
    <w:rPr>
      <w:rFonts w:ascii="Times New Roman" w:eastAsia="Times New Roman" w:hAnsi="Times New Roman" w:cs="Times New Roman"/>
      <w:b/>
      <w:bCs/>
    </w:rPr>
  </w:style>
  <w:style w:type="character" w:customStyle="1" w:styleId="apple-converted-space">
    <w:name w:val="apple-converted-space"/>
    <w:basedOn w:val="DefaultParagraphFont"/>
    <w:rsid w:val="00CB42E4"/>
  </w:style>
  <w:style w:type="character" w:customStyle="1" w:styleId="date-display-single">
    <w:name w:val="date-display-single"/>
    <w:basedOn w:val="DefaultParagraphFont"/>
    <w:rsid w:val="00CB42E4"/>
  </w:style>
  <w:style w:type="paragraph" w:styleId="NormalWeb">
    <w:name w:val="Normal (Web)"/>
    <w:basedOn w:val="Normal"/>
    <w:uiPriority w:val="99"/>
    <w:semiHidden/>
    <w:unhideWhenUsed/>
    <w:rsid w:val="00CB42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42E4"/>
    <w:rPr>
      <w:color w:val="0000FF"/>
      <w:u w:val="single"/>
    </w:rPr>
  </w:style>
  <w:style w:type="character" w:styleId="Strong">
    <w:name w:val="Strong"/>
    <w:basedOn w:val="DefaultParagraphFont"/>
    <w:uiPriority w:val="22"/>
    <w:qFormat/>
    <w:rsid w:val="00CB4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8647">
      <w:bodyDiv w:val="1"/>
      <w:marLeft w:val="0"/>
      <w:marRight w:val="0"/>
      <w:marTop w:val="0"/>
      <w:marBottom w:val="0"/>
      <w:divBdr>
        <w:top w:val="none" w:sz="0" w:space="0" w:color="auto"/>
        <w:left w:val="none" w:sz="0" w:space="0" w:color="auto"/>
        <w:bottom w:val="none" w:sz="0" w:space="0" w:color="auto"/>
        <w:right w:val="none" w:sz="0" w:space="0" w:color="auto"/>
      </w:divBdr>
      <w:divsChild>
        <w:div w:id="1312558738">
          <w:marLeft w:val="0"/>
          <w:marRight w:val="0"/>
          <w:marTop w:val="0"/>
          <w:marBottom w:val="0"/>
          <w:divBdr>
            <w:top w:val="none" w:sz="0" w:space="0" w:color="auto"/>
            <w:left w:val="none" w:sz="0" w:space="0" w:color="auto"/>
            <w:bottom w:val="none" w:sz="0" w:space="0" w:color="auto"/>
            <w:right w:val="none" w:sz="0" w:space="0" w:color="auto"/>
          </w:divBdr>
          <w:divsChild>
            <w:div w:id="973364719">
              <w:marLeft w:val="0"/>
              <w:marRight w:val="0"/>
              <w:marTop w:val="0"/>
              <w:marBottom w:val="0"/>
              <w:divBdr>
                <w:top w:val="none" w:sz="0" w:space="0" w:color="auto"/>
                <w:left w:val="none" w:sz="0" w:space="0" w:color="auto"/>
                <w:bottom w:val="none" w:sz="0" w:space="0" w:color="auto"/>
                <w:right w:val="none" w:sz="0" w:space="0" w:color="auto"/>
              </w:divBdr>
            </w:div>
          </w:divsChild>
        </w:div>
        <w:div w:id="318964747">
          <w:marLeft w:val="0"/>
          <w:marRight w:val="0"/>
          <w:marTop w:val="0"/>
          <w:marBottom w:val="0"/>
          <w:divBdr>
            <w:top w:val="none" w:sz="0" w:space="0" w:color="auto"/>
            <w:left w:val="none" w:sz="0" w:space="0" w:color="auto"/>
            <w:bottom w:val="none" w:sz="0" w:space="0" w:color="auto"/>
            <w:right w:val="none" w:sz="0" w:space="0" w:color="auto"/>
          </w:divBdr>
        </w:div>
        <w:div w:id="1506281835">
          <w:marLeft w:val="0"/>
          <w:marRight w:val="0"/>
          <w:marTop w:val="0"/>
          <w:marBottom w:val="0"/>
          <w:divBdr>
            <w:top w:val="none" w:sz="0" w:space="0" w:color="auto"/>
            <w:left w:val="none" w:sz="0" w:space="0" w:color="auto"/>
            <w:bottom w:val="none" w:sz="0" w:space="0" w:color="auto"/>
            <w:right w:val="none" w:sz="0" w:space="0" w:color="auto"/>
          </w:divBdr>
          <w:divsChild>
            <w:div w:id="1053233676">
              <w:marLeft w:val="0"/>
              <w:marRight w:val="0"/>
              <w:marTop w:val="0"/>
              <w:marBottom w:val="0"/>
              <w:divBdr>
                <w:top w:val="none" w:sz="0" w:space="0" w:color="auto"/>
                <w:left w:val="none" w:sz="0" w:space="0" w:color="auto"/>
                <w:bottom w:val="none" w:sz="0" w:space="0" w:color="auto"/>
                <w:right w:val="none" w:sz="0" w:space="0" w:color="auto"/>
              </w:divBdr>
              <w:divsChild>
                <w:div w:id="1055621090">
                  <w:marLeft w:val="0"/>
                  <w:marRight w:val="0"/>
                  <w:marTop w:val="0"/>
                  <w:marBottom w:val="0"/>
                  <w:divBdr>
                    <w:top w:val="none" w:sz="0" w:space="0" w:color="auto"/>
                    <w:left w:val="none" w:sz="0" w:space="0" w:color="auto"/>
                    <w:bottom w:val="none" w:sz="0" w:space="0" w:color="auto"/>
                    <w:right w:val="none" w:sz="0" w:space="0" w:color="auto"/>
                  </w:divBdr>
                  <w:divsChild>
                    <w:div w:id="1752308479">
                      <w:marLeft w:val="0"/>
                      <w:marRight w:val="0"/>
                      <w:marTop w:val="0"/>
                      <w:marBottom w:val="0"/>
                      <w:divBdr>
                        <w:top w:val="none" w:sz="0" w:space="0" w:color="auto"/>
                        <w:left w:val="none" w:sz="0" w:space="0" w:color="auto"/>
                        <w:bottom w:val="none" w:sz="0" w:space="0" w:color="auto"/>
                        <w:right w:val="none" w:sz="0" w:space="0" w:color="auto"/>
                      </w:divBdr>
                      <w:divsChild>
                        <w:div w:id="1527475988">
                          <w:marLeft w:val="0"/>
                          <w:marRight w:val="0"/>
                          <w:marTop w:val="0"/>
                          <w:marBottom w:val="0"/>
                          <w:divBdr>
                            <w:top w:val="none" w:sz="0" w:space="0" w:color="auto"/>
                            <w:left w:val="none" w:sz="0" w:space="0" w:color="auto"/>
                            <w:bottom w:val="none" w:sz="0" w:space="0" w:color="auto"/>
                            <w:right w:val="none" w:sz="0" w:space="0" w:color="auto"/>
                          </w:divBdr>
                          <w:divsChild>
                            <w:div w:id="575826100">
                              <w:marLeft w:val="0"/>
                              <w:marRight w:val="0"/>
                              <w:marTop w:val="0"/>
                              <w:marBottom w:val="0"/>
                              <w:divBdr>
                                <w:top w:val="none" w:sz="0" w:space="0" w:color="auto"/>
                                <w:left w:val="none" w:sz="0" w:space="0" w:color="auto"/>
                                <w:bottom w:val="none" w:sz="0" w:space="0" w:color="auto"/>
                                <w:right w:val="none" w:sz="0" w:space="0" w:color="auto"/>
                              </w:divBdr>
                              <w:divsChild>
                                <w:div w:id="1762681737">
                                  <w:marLeft w:val="0"/>
                                  <w:marRight w:val="0"/>
                                  <w:marTop w:val="0"/>
                                  <w:marBottom w:val="0"/>
                                  <w:divBdr>
                                    <w:top w:val="none" w:sz="0" w:space="0" w:color="auto"/>
                                    <w:left w:val="none" w:sz="0" w:space="0" w:color="auto"/>
                                    <w:bottom w:val="none" w:sz="0" w:space="0" w:color="auto"/>
                                    <w:right w:val="none" w:sz="0" w:space="0" w:color="auto"/>
                                  </w:divBdr>
                                  <w:divsChild>
                                    <w:div w:id="4765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hmp" TargetMode="External"/><Relationship Id="rId13" Type="http://schemas.openxmlformats.org/officeDocument/2006/relationships/hyperlink" Target="https://www.ema.europa.eu/en/glossary/chmp" TargetMode="External"/><Relationship Id="rId18" Type="http://schemas.openxmlformats.org/officeDocument/2006/relationships/hyperlink" Target="https://www.ema.europa.eu/en/glossary/chmp" TargetMode="External"/><Relationship Id="rId3" Type="http://schemas.openxmlformats.org/officeDocument/2006/relationships/webSettings" Target="webSettings.xml"/><Relationship Id="rId21" Type="http://schemas.openxmlformats.org/officeDocument/2006/relationships/hyperlink" Target="https://www.ema.europa.eu/en/glossary/committee-orphan-medicinal-products" TargetMode="External"/><Relationship Id="rId7" Type="http://schemas.openxmlformats.org/officeDocument/2006/relationships/hyperlink" Target="https://www.ema.europa.eu/en/glossary/chmp" TargetMode="External"/><Relationship Id="rId12" Type="http://schemas.openxmlformats.org/officeDocument/2006/relationships/hyperlink" Target="https://www.ema.europa.eu/en/glossary/marketing-authorisation-holder" TargetMode="External"/><Relationship Id="rId17" Type="http://schemas.openxmlformats.org/officeDocument/2006/relationships/hyperlink" Target="https://www.ema.europa.eu/en/glossary/chm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ma.europa.eu/en/glossary/indication" TargetMode="External"/><Relationship Id="rId20" Type="http://schemas.openxmlformats.org/officeDocument/2006/relationships/hyperlink" Target="https://www.ema.europa.eu/en/glossary/orphan-designation" TargetMode="External"/><Relationship Id="rId1" Type="http://schemas.openxmlformats.org/officeDocument/2006/relationships/styles" Target="styles.xml"/><Relationship Id="rId6" Type="http://schemas.openxmlformats.org/officeDocument/2006/relationships/hyperlink" Target="https://www.ema.europa.eu/en/glossary/accelerated-assessment" TargetMode="External"/><Relationship Id="rId11" Type="http://schemas.openxmlformats.org/officeDocument/2006/relationships/hyperlink" Target="https://www.ema.europa.eu/en/glossary/informed-consent-application" TargetMode="External"/><Relationship Id="rId24" Type="http://schemas.openxmlformats.org/officeDocument/2006/relationships/fontTable" Target="fontTable.xml"/><Relationship Id="rId5" Type="http://schemas.openxmlformats.org/officeDocument/2006/relationships/hyperlink" Target="https://www.ema.europa.eu/en/glossary/marketing-authorisation" TargetMode="External"/><Relationship Id="rId15" Type="http://schemas.openxmlformats.org/officeDocument/2006/relationships/hyperlink" Target="https://www.ema.europa.eu/en/glossary/generic-medicine" TargetMode="External"/><Relationship Id="rId23" Type="http://schemas.openxmlformats.org/officeDocument/2006/relationships/hyperlink" Target="https://www.ema.europa.eu/en/glossary/market-exclusivity" TargetMode="External"/><Relationship Id="rId10" Type="http://schemas.openxmlformats.org/officeDocument/2006/relationships/hyperlink" Target="https://www.ema.europa.eu/en/glossary/informed-consent-application" TargetMode="External"/><Relationship Id="rId19" Type="http://schemas.openxmlformats.org/officeDocument/2006/relationships/hyperlink" Target="https://www.ema.europa.eu/en/glossary/orphan-medicine"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marketing-authorisation" TargetMode="External"/><Relationship Id="rId14" Type="http://schemas.openxmlformats.org/officeDocument/2006/relationships/hyperlink" Target="https://www.ema.europa.eu/en/glossary/marketing-authorisation" TargetMode="External"/><Relationship Id="rId22" Type="http://schemas.openxmlformats.org/officeDocument/2006/relationships/hyperlink" Target="https://www.ema.europa.eu/en/glossary/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2020-02-18T10:48:00Z</dcterms:created>
  <dcterms:modified xsi:type="dcterms:W3CDTF">2020-02-18T10:57:00Z</dcterms:modified>
</cp:coreProperties>
</file>