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B66E3" w14:textId="77777777" w:rsidR="00D02F64" w:rsidRPr="00D02F64" w:rsidRDefault="00D02F64" w:rsidP="00D02F64">
      <w:pPr>
        <w:outlineLvl w:val="0"/>
        <w:rPr>
          <w:rFonts w:ascii="Verdana" w:eastAsia="Times New Roman" w:hAnsi="Verdana" w:cs="Times New Roman"/>
          <w:color w:val="000000"/>
          <w:kern w:val="36"/>
          <w:sz w:val="48"/>
          <w:szCs w:val="48"/>
        </w:rPr>
      </w:pPr>
      <w:r w:rsidRPr="0085625B">
        <w:rPr>
          <w:rFonts w:ascii="Verdana" w:eastAsia="Times New Roman" w:hAnsi="Verdana" w:cs="Times New Roman"/>
          <w:color w:val="000000"/>
          <w:kern w:val="36"/>
          <w:sz w:val="48"/>
          <w:szCs w:val="48"/>
          <w:highlight w:val="lightGray"/>
        </w:rPr>
        <w:t>Six-year review shows success of the EU signal management system in improving safe use of medicines</w:t>
      </w:r>
    </w:p>
    <w:p w14:paraId="7736EE40" w14:textId="77777777" w:rsidR="00D02F64" w:rsidRPr="00D02F64" w:rsidRDefault="00D02F64" w:rsidP="00D02F64">
      <w:pPr>
        <w:rPr>
          <w:rFonts w:ascii="Times New Roman" w:eastAsia="Times New Roman" w:hAnsi="Times New Roman" w:cs="Times New Roman"/>
        </w:rPr>
      </w:pPr>
      <w:r w:rsidRPr="00D02F64">
        <w:rPr>
          <w:rFonts w:ascii="Verdana" w:eastAsia="Times New Roman" w:hAnsi="Verdana" w:cs="Times New Roman"/>
          <w:color w:val="000000"/>
        </w:rPr>
        <w:t> </w:t>
      </w:r>
    </w:p>
    <w:p w14:paraId="115EFAA6" w14:textId="77777777" w:rsidR="00D02F64" w:rsidRPr="00D02F64" w:rsidRDefault="00D02F64" w:rsidP="00D02F64">
      <w:pPr>
        <w:rPr>
          <w:rFonts w:ascii="Verdana" w:eastAsia="Times New Roman" w:hAnsi="Verdana" w:cs="Times New Roman"/>
          <w:color w:val="000000"/>
        </w:rPr>
      </w:pPr>
      <w:r w:rsidRPr="00D02F64">
        <w:rPr>
          <w:rFonts w:ascii="Verdana" w:eastAsia="Times New Roman" w:hAnsi="Verdana" w:cs="Times New Roman"/>
          <w:color w:val="000000"/>
        </w:rPr>
        <w:t>Share</w:t>
      </w:r>
    </w:p>
    <w:p w14:paraId="03C26D47" w14:textId="77777777" w:rsidR="00D02F64" w:rsidRPr="00D02F64" w:rsidRDefault="00D02F64" w:rsidP="00D02F64">
      <w:pPr>
        <w:rPr>
          <w:rFonts w:ascii="Verdana" w:eastAsia="Times New Roman" w:hAnsi="Verdana" w:cs="Times New Roman"/>
          <w:color w:val="000000"/>
        </w:rPr>
      </w:pPr>
      <w:r w:rsidRPr="00D02F64">
        <w:rPr>
          <w:rFonts w:ascii="Verdana" w:eastAsia="Times New Roman" w:hAnsi="Verdana" w:cs="Times New Roman"/>
          <w:color w:val="000000"/>
        </w:rPr>
        <w:t>News 11/12/2019</w:t>
      </w:r>
    </w:p>
    <w:p w14:paraId="54E6EE65" w14:textId="77777777" w:rsidR="00D02F64" w:rsidRPr="00D02F64" w:rsidRDefault="00D02F64" w:rsidP="00D02F64">
      <w:pPr>
        <w:spacing w:beforeAutospacing="1" w:afterAutospacing="1"/>
        <w:rPr>
          <w:rFonts w:ascii="Verdana" w:eastAsia="Times New Roman" w:hAnsi="Verdana" w:cs="Times New Roman"/>
          <w:color w:val="000000"/>
        </w:rPr>
      </w:pPr>
      <w:r w:rsidRPr="0085625B">
        <w:rPr>
          <w:rFonts w:ascii="Verdana" w:eastAsia="Times New Roman" w:hAnsi="Verdana" w:cs="Times New Roman"/>
          <w:color w:val="000000"/>
          <w:highlight w:val="lightGray"/>
        </w:rPr>
        <w:t>In the first six years since the implementation of the 2012 EU </w:t>
      </w:r>
      <w:hyperlink r:id="rId4" w:tgtFrame="_blank" w:tooltip="Science and activities relating to the detection, assessment, understanding and prevention of adverse effects or any other medicine-related problem. &#13; &#13; More information can be found under 'Pharmacovigilance -  Overview'." w:history="1">
        <w:r w:rsidRPr="0085625B">
          <w:rPr>
            <w:rFonts w:ascii="Verdana" w:eastAsia="Times New Roman" w:hAnsi="Verdana" w:cs="Times New Roman"/>
            <w:color w:val="000000"/>
            <w:highlight w:val="lightGray"/>
            <w:u w:val="single"/>
          </w:rPr>
          <w:t>pharmacovigilance</w:t>
        </w:r>
      </w:hyperlink>
      <w:r w:rsidRPr="0085625B">
        <w:rPr>
          <w:rFonts w:ascii="Verdana" w:eastAsia="Times New Roman" w:hAnsi="Verdana" w:cs="Times New Roman"/>
          <w:color w:val="000000"/>
          <w:highlight w:val="lightGray"/>
        </w:rPr>
        <w:t> legislation, the EU network has demonstrated its ability to reliably detect, assess and manage </w:t>
      </w:r>
      <w:hyperlink r:id="rId5" w:tgtFrame="_blank" w:tooltip="Information on a new or known adverse event that is potentially caused by a medicine and that warrants further investigation. Signals are generated from several sources such as spontaneous reports, clinical studies and the scientific literature. &#13; &#13; More information can be found under 'Signal management'." w:history="1">
        <w:r w:rsidRPr="0085625B">
          <w:rPr>
            <w:rFonts w:ascii="Verdana" w:eastAsia="Times New Roman" w:hAnsi="Verdana" w:cs="Times New Roman"/>
            <w:color w:val="000000"/>
            <w:highlight w:val="lightGray"/>
            <w:u w:val="single"/>
          </w:rPr>
          <w:t>safety signals</w:t>
        </w:r>
      </w:hyperlink>
      <w:r w:rsidRPr="0085625B">
        <w:rPr>
          <w:rFonts w:ascii="Verdana" w:eastAsia="Times New Roman" w:hAnsi="Verdana" w:cs="Times New Roman"/>
          <w:color w:val="000000"/>
          <w:highlight w:val="lightGray"/>
        </w:rPr>
        <w:t> for medicines, opening a new era for patient protection and transparency in medicines safety, highlights an article published in Clinical Pharmacology &amp; Therapeutics.</w:t>
      </w:r>
      <w:r w:rsidRPr="00D02F64">
        <w:rPr>
          <w:rFonts w:ascii="Verdana" w:eastAsia="Times New Roman" w:hAnsi="Verdana" w:cs="Times New Roman"/>
          <w:color w:val="000000"/>
        </w:rPr>
        <w:t xml:space="preserve"> </w:t>
      </w:r>
      <w:r w:rsidRPr="0085625B">
        <w:rPr>
          <w:rFonts w:ascii="Verdana" w:eastAsia="Times New Roman" w:hAnsi="Verdana" w:cs="Times New Roman"/>
          <w:color w:val="000000"/>
          <w:highlight w:val="darkGray"/>
        </w:rPr>
        <w:t>A </w:t>
      </w:r>
      <w:hyperlink r:id="rId6" w:tgtFrame="_blank" w:tooltip="Information on a new or known adverse event that is potentially caused by a medicine and that warrants further investigation. Signals are generated from several sources such as spontaneous reports, clinical studies and the scientific literature. &#13; &#13; More information can be found under 'Signal management'." w:history="1">
        <w:r w:rsidRPr="0085625B">
          <w:rPr>
            <w:rFonts w:ascii="Verdana" w:eastAsia="Times New Roman" w:hAnsi="Verdana" w:cs="Times New Roman"/>
            <w:color w:val="000000"/>
            <w:highlight w:val="darkGray"/>
            <w:u w:val="single"/>
          </w:rPr>
          <w:t>safety signal</w:t>
        </w:r>
      </w:hyperlink>
      <w:r w:rsidRPr="0085625B">
        <w:rPr>
          <w:rFonts w:ascii="Verdana" w:eastAsia="Times New Roman" w:hAnsi="Verdana" w:cs="Times New Roman"/>
          <w:color w:val="000000"/>
          <w:highlight w:val="darkGray"/>
        </w:rPr>
        <w:t> is information on a new or known </w:t>
      </w:r>
      <w:hyperlink r:id="rId7" w:tgtFrame="_blank" w:tooltip="An untoward medical occurrence after exposure to a medicine, which is not necessarily caused by that medicine." w:history="1">
        <w:r w:rsidRPr="0085625B">
          <w:rPr>
            <w:rFonts w:ascii="Verdana" w:eastAsia="Times New Roman" w:hAnsi="Verdana" w:cs="Times New Roman"/>
            <w:color w:val="000000"/>
            <w:highlight w:val="darkGray"/>
            <w:u w:val="single"/>
          </w:rPr>
          <w:t>adverse event</w:t>
        </w:r>
      </w:hyperlink>
      <w:r w:rsidRPr="0085625B">
        <w:rPr>
          <w:rFonts w:ascii="Verdana" w:eastAsia="Times New Roman" w:hAnsi="Verdana" w:cs="Times New Roman"/>
          <w:color w:val="000000"/>
          <w:highlight w:val="darkGray"/>
        </w:rPr>
        <w:t> that is potentially caused by a medicine and that warrants further investigation.</w:t>
      </w:r>
    </w:p>
    <w:p w14:paraId="3A547BF9" w14:textId="77777777" w:rsidR="00D02F64" w:rsidRPr="00D02F64" w:rsidRDefault="00B770CD" w:rsidP="00D02F64">
      <w:pPr>
        <w:spacing w:beforeAutospacing="1" w:afterAutospacing="1"/>
        <w:rPr>
          <w:rFonts w:ascii="Verdana" w:eastAsia="Times New Roman" w:hAnsi="Verdana" w:cs="Times New Roman"/>
          <w:color w:val="000000"/>
        </w:rPr>
      </w:pPr>
      <w:hyperlink r:id="rId8" w:tgtFrame="_blank" w:tooltip="Science and activities relating to the detection, assessment, understanding and prevention of adverse effects or any other medicine-related problem. &#13; &#13; More information can be found under 'Pharmacovigilance -  Overview'." w:history="1">
        <w:r w:rsidR="00D02F64" w:rsidRPr="0085625B">
          <w:rPr>
            <w:rFonts w:ascii="Verdana" w:eastAsia="Times New Roman" w:hAnsi="Verdana" w:cs="Times New Roman"/>
            <w:color w:val="000000"/>
            <w:highlight w:val="darkGray"/>
            <w:u w:val="single"/>
          </w:rPr>
          <w:t>Pharmacovigilance</w:t>
        </w:r>
      </w:hyperlink>
      <w:r w:rsidR="00D02F64" w:rsidRPr="0085625B">
        <w:rPr>
          <w:rFonts w:ascii="Verdana" w:eastAsia="Times New Roman" w:hAnsi="Verdana" w:cs="Times New Roman"/>
          <w:color w:val="000000"/>
          <w:highlight w:val="darkGray"/>
        </w:rPr>
        <w:t xml:space="preserve"> systems ensure proactive monitoring of all </w:t>
      </w:r>
      <w:proofErr w:type="spellStart"/>
      <w:r w:rsidR="00D02F64" w:rsidRPr="0085625B">
        <w:rPr>
          <w:rFonts w:ascii="Verdana" w:eastAsia="Times New Roman" w:hAnsi="Verdana" w:cs="Times New Roman"/>
          <w:color w:val="000000"/>
          <w:highlight w:val="darkGray"/>
        </w:rPr>
        <w:t>authorised</w:t>
      </w:r>
      <w:proofErr w:type="spellEnd"/>
      <w:r w:rsidR="00D02F64" w:rsidRPr="0085625B">
        <w:rPr>
          <w:rFonts w:ascii="Verdana" w:eastAsia="Times New Roman" w:hAnsi="Verdana" w:cs="Times New Roman"/>
          <w:color w:val="000000"/>
          <w:highlight w:val="darkGray"/>
        </w:rPr>
        <w:t xml:space="preserve"> medicines throughout their lifecycle in clinical use. Signal detection and management are core activities in </w:t>
      </w:r>
      <w:hyperlink r:id="rId9" w:tgtFrame="_blank" w:tooltip="Science and activities relating to the detection, assessment, understanding and prevention of adverse effects or any other medicine-related problem. &#13; &#13; More information can be found under 'Pharmacovigilance -  Overview'." w:history="1">
        <w:r w:rsidR="00D02F64" w:rsidRPr="0085625B">
          <w:rPr>
            <w:rFonts w:ascii="Verdana" w:eastAsia="Times New Roman" w:hAnsi="Verdana" w:cs="Times New Roman"/>
            <w:color w:val="000000"/>
            <w:highlight w:val="darkGray"/>
            <w:u w:val="single"/>
          </w:rPr>
          <w:t>pharmacovigilance</w:t>
        </w:r>
      </w:hyperlink>
      <w:r w:rsidR="00D02F64" w:rsidRPr="0085625B">
        <w:rPr>
          <w:rFonts w:ascii="Verdana" w:eastAsia="Times New Roman" w:hAnsi="Verdana" w:cs="Times New Roman"/>
          <w:color w:val="000000"/>
          <w:highlight w:val="darkGray"/>
        </w:rPr>
        <w:t>, rapidly delivering new information on the safety of medicines in real-world use which helps to fill knowledge gaps.</w:t>
      </w:r>
      <w:r w:rsidR="00D02F64" w:rsidRPr="00D02F64">
        <w:rPr>
          <w:rFonts w:ascii="Verdana" w:eastAsia="Times New Roman" w:hAnsi="Verdana" w:cs="Times New Roman"/>
          <w:color w:val="000000"/>
        </w:rPr>
        <w:t xml:space="preserve">  </w:t>
      </w:r>
      <w:r w:rsidR="00D02F64" w:rsidRPr="00B770CD">
        <w:rPr>
          <w:rFonts w:ascii="Verdana" w:eastAsia="Times New Roman" w:hAnsi="Verdana" w:cs="Times New Roman"/>
          <w:color w:val="000000"/>
          <w:highlight w:val="lightGray"/>
        </w:rPr>
        <w:t>At the heart of this process is a strong collaboration based on expertise from the </w:t>
      </w:r>
      <w:hyperlink r:id="rId10" w:tgtFrame="_blank" w:tooltip="A medicines regulatory authority in a European Union Member State." w:history="1">
        <w:r w:rsidR="00D02F64" w:rsidRPr="00B770CD">
          <w:rPr>
            <w:rFonts w:ascii="Verdana" w:eastAsia="Times New Roman" w:hAnsi="Verdana" w:cs="Times New Roman"/>
            <w:color w:val="000000"/>
            <w:highlight w:val="lightGray"/>
            <w:u w:val="single"/>
          </w:rPr>
          <w:t>national competent authorities</w:t>
        </w:r>
      </w:hyperlink>
      <w:r w:rsidR="00D02F64" w:rsidRPr="00B770CD">
        <w:rPr>
          <w:rFonts w:ascii="Verdana" w:eastAsia="Times New Roman" w:hAnsi="Verdana" w:cs="Times New Roman"/>
          <w:color w:val="000000"/>
          <w:highlight w:val="lightGray"/>
        </w:rPr>
        <w:t> and EMA, with the contribution of the </w:t>
      </w:r>
      <w:hyperlink r:id="rId11" w:tgtFrame="_blank" w:tooltip="Science and activities relating to the detection, assessment, understanding and prevention of adverse effects or any other medicine-related problem. &#13; &#13; More information can be found under 'Pharmacovigilance -  Overview'." w:history="1">
        <w:r w:rsidR="00D02F64" w:rsidRPr="00B770CD">
          <w:rPr>
            <w:rFonts w:ascii="Verdana" w:eastAsia="Times New Roman" w:hAnsi="Verdana" w:cs="Times New Roman"/>
            <w:color w:val="000000"/>
            <w:highlight w:val="lightGray"/>
            <w:u w:val="single"/>
          </w:rPr>
          <w:t>pharmacovigilance</w:t>
        </w:r>
      </w:hyperlink>
      <w:r w:rsidR="00D02F64" w:rsidRPr="00B770CD">
        <w:rPr>
          <w:rFonts w:ascii="Verdana" w:eastAsia="Times New Roman" w:hAnsi="Verdana" w:cs="Times New Roman"/>
          <w:color w:val="000000"/>
          <w:highlight w:val="lightGray"/>
        </w:rPr>
        <w:t> systems of marketing-</w:t>
      </w:r>
      <w:proofErr w:type="spellStart"/>
      <w:r w:rsidR="00D02F64" w:rsidRPr="00B770CD">
        <w:rPr>
          <w:rFonts w:ascii="Verdana" w:eastAsia="Times New Roman" w:hAnsi="Verdana" w:cs="Times New Roman"/>
          <w:color w:val="000000"/>
          <w:highlight w:val="lightGray"/>
        </w:rPr>
        <w:t>authorisation</w:t>
      </w:r>
      <w:proofErr w:type="spellEnd"/>
      <w:r w:rsidR="00D02F64" w:rsidRPr="00B770CD">
        <w:rPr>
          <w:rFonts w:ascii="Verdana" w:eastAsia="Times New Roman" w:hAnsi="Verdana" w:cs="Times New Roman"/>
          <w:color w:val="000000"/>
          <w:highlight w:val="lightGray"/>
        </w:rPr>
        <w:t xml:space="preserve"> holders, combined with a culture of continuous improvement.</w:t>
      </w:r>
    </w:p>
    <w:p w14:paraId="5624CCC8" w14:textId="77777777" w:rsidR="00D02F64" w:rsidRPr="00D02F64" w:rsidRDefault="00D02F64" w:rsidP="00D02F64">
      <w:pPr>
        <w:spacing w:beforeAutospacing="1" w:afterAutospacing="1"/>
        <w:rPr>
          <w:rFonts w:ascii="Verdana" w:eastAsia="Times New Roman" w:hAnsi="Verdana" w:cs="Times New Roman"/>
          <w:color w:val="000000"/>
        </w:rPr>
      </w:pPr>
      <w:r w:rsidRPr="00B770CD">
        <w:rPr>
          <w:rFonts w:ascii="Verdana" w:eastAsia="Times New Roman" w:hAnsi="Verdana" w:cs="Times New Roman"/>
          <w:color w:val="000000"/>
          <w:highlight w:val="lightGray"/>
        </w:rPr>
        <w:t>In the first six years of the implementation of the </w:t>
      </w:r>
      <w:hyperlink r:id="rId12" w:tgtFrame="_blank" w:tooltip="Science and activities relating to the detection, assessment, understanding and prevention of adverse effects or any other medicine-related problem. &#13; &#13; More information can be found under 'Pharmacovigilance -  Overview'." w:history="1">
        <w:r w:rsidRPr="00B770CD">
          <w:rPr>
            <w:rFonts w:ascii="Verdana" w:eastAsia="Times New Roman" w:hAnsi="Verdana" w:cs="Times New Roman"/>
            <w:color w:val="000000"/>
            <w:highlight w:val="lightGray"/>
            <w:u w:val="single"/>
          </w:rPr>
          <w:t>pharmacovigilance</w:t>
        </w:r>
      </w:hyperlink>
      <w:r w:rsidRPr="00B770CD">
        <w:rPr>
          <w:rFonts w:ascii="Verdana" w:eastAsia="Times New Roman" w:hAnsi="Verdana" w:cs="Times New Roman"/>
          <w:color w:val="000000"/>
          <w:highlight w:val="lightGray"/>
        </w:rPr>
        <w:t> legislation, over 26,000 potential signals were reviewed, resulting in 453 signals assessed by EMA’s safety committee (</w:t>
      </w:r>
      <w:hyperlink r:id="rId13"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B770CD">
          <w:rPr>
            <w:rFonts w:ascii="Verdana" w:eastAsia="Times New Roman" w:hAnsi="Verdana" w:cs="Times New Roman"/>
            <w:color w:val="000000"/>
            <w:highlight w:val="lightGray"/>
            <w:u w:val="single"/>
          </w:rPr>
          <w:t>PRAC</w:t>
        </w:r>
      </w:hyperlink>
      <w:r w:rsidRPr="00B770CD">
        <w:rPr>
          <w:rFonts w:ascii="Verdana" w:eastAsia="Times New Roman" w:hAnsi="Verdana" w:cs="Times New Roman"/>
          <w:color w:val="000000"/>
          <w:highlight w:val="lightGray"/>
        </w:rPr>
        <w:t>). More than half of the </w:t>
      </w:r>
      <w:hyperlink r:id="rId14"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B770CD">
          <w:rPr>
            <w:rFonts w:ascii="Verdana" w:eastAsia="Times New Roman" w:hAnsi="Verdana" w:cs="Times New Roman"/>
            <w:color w:val="000000"/>
            <w:highlight w:val="lightGray"/>
            <w:u w:val="single"/>
          </w:rPr>
          <w:t>PRAC</w:t>
        </w:r>
      </w:hyperlink>
      <w:r w:rsidRPr="00B770CD">
        <w:rPr>
          <w:rFonts w:ascii="Verdana" w:eastAsia="Times New Roman" w:hAnsi="Verdana" w:cs="Times New Roman"/>
          <w:color w:val="000000"/>
          <w:highlight w:val="lightGray"/>
        </w:rPr>
        <w:t> recommendations resulted in changes to medicine </w:t>
      </w:r>
      <w:hyperlink r:id="rId15"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B770CD">
          <w:rPr>
            <w:rFonts w:ascii="Verdana" w:eastAsia="Times New Roman" w:hAnsi="Verdana" w:cs="Times New Roman"/>
            <w:color w:val="000000"/>
            <w:highlight w:val="lightGray"/>
            <w:u w:val="single"/>
          </w:rPr>
          <w:t>product information</w:t>
        </w:r>
      </w:hyperlink>
      <w:r w:rsidRPr="00B770CD">
        <w:rPr>
          <w:rFonts w:ascii="Verdana" w:eastAsia="Times New Roman" w:hAnsi="Verdana" w:cs="Times New Roman"/>
          <w:color w:val="000000"/>
          <w:highlight w:val="lightGray"/>
        </w:rPr>
        <w:t> supporting the safe and effective use of medicines.</w:t>
      </w:r>
      <w:bookmarkStart w:id="0" w:name="_GoBack"/>
      <w:bookmarkEnd w:id="0"/>
      <w:r w:rsidRPr="00D02F64">
        <w:rPr>
          <w:rFonts w:ascii="Verdana" w:eastAsia="Times New Roman" w:hAnsi="Verdana" w:cs="Times New Roman"/>
          <w:color w:val="000000"/>
        </w:rPr>
        <w:t xml:space="preserve"> </w:t>
      </w:r>
      <w:r w:rsidRPr="0085625B">
        <w:rPr>
          <w:rFonts w:ascii="Verdana" w:eastAsia="Times New Roman" w:hAnsi="Verdana" w:cs="Times New Roman"/>
          <w:color w:val="000000"/>
          <w:highlight w:val="lightGray"/>
        </w:rPr>
        <w:t xml:space="preserve">The system proved responsive with recommendations for risk </w:t>
      </w:r>
      <w:proofErr w:type="spellStart"/>
      <w:r w:rsidRPr="0085625B">
        <w:rPr>
          <w:rFonts w:ascii="Verdana" w:eastAsia="Times New Roman" w:hAnsi="Verdana" w:cs="Times New Roman"/>
          <w:color w:val="000000"/>
          <w:highlight w:val="lightGray"/>
        </w:rPr>
        <w:t>minimisation</w:t>
      </w:r>
      <w:proofErr w:type="spellEnd"/>
      <w:r w:rsidRPr="0085625B">
        <w:rPr>
          <w:rFonts w:ascii="Verdana" w:eastAsia="Times New Roman" w:hAnsi="Verdana" w:cs="Times New Roman"/>
          <w:color w:val="000000"/>
          <w:highlight w:val="lightGray"/>
        </w:rPr>
        <w:t xml:space="preserve"> measures made in as few as five days of a signal being confirmed (with a median of five months).</w:t>
      </w:r>
    </w:p>
    <w:p w14:paraId="5CD0FFE1" w14:textId="77777777" w:rsidR="00D02F64" w:rsidRPr="00D02F64" w:rsidRDefault="00D02F64" w:rsidP="00D02F64">
      <w:pPr>
        <w:spacing w:before="100" w:beforeAutospacing="1" w:after="100" w:afterAutospacing="1"/>
        <w:rPr>
          <w:rFonts w:ascii="Verdana" w:eastAsia="Times New Roman" w:hAnsi="Verdana" w:cs="Times New Roman"/>
          <w:color w:val="000000"/>
        </w:rPr>
      </w:pPr>
      <w:r w:rsidRPr="0085625B">
        <w:rPr>
          <w:rFonts w:ascii="Verdana" w:eastAsia="Times New Roman" w:hAnsi="Verdana" w:cs="Times New Roman"/>
          <w:color w:val="000000"/>
          <w:highlight w:val="lightGray"/>
        </w:rPr>
        <w:t>The article describes the signal management process in place in the EU, underpinned by transparency, with specific actions to rapidly communicate reliable information on the safety of medicines to patients and healthcare professionals.</w:t>
      </w:r>
    </w:p>
    <w:p w14:paraId="28B5295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1E"/>
    <w:rsid w:val="00453EED"/>
    <w:rsid w:val="00740718"/>
    <w:rsid w:val="0085625B"/>
    <w:rsid w:val="00B57D1E"/>
    <w:rsid w:val="00B770CD"/>
    <w:rsid w:val="00BE080D"/>
    <w:rsid w:val="00D0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2EB65"/>
  <w14:defaultImageDpi w14:val="32767"/>
  <w15:chartTrackingRefBased/>
  <w15:docId w15:val="{374049A4-2F7B-934F-A525-7BED45EE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02F6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F6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02F64"/>
  </w:style>
  <w:style w:type="character" w:customStyle="1" w:styleId="date-display-single">
    <w:name w:val="date-display-single"/>
    <w:basedOn w:val="DefaultParagraphFont"/>
    <w:rsid w:val="00D02F64"/>
  </w:style>
  <w:style w:type="paragraph" w:styleId="NormalWeb">
    <w:name w:val="Normal (Web)"/>
    <w:basedOn w:val="Normal"/>
    <w:uiPriority w:val="99"/>
    <w:semiHidden/>
    <w:unhideWhenUsed/>
    <w:rsid w:val="00D02F6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2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30268">
      <w:bodyDiv w:val="1"/>
      <w:marLeft w:val="0"/>
      <w:marRight w:val="0"/>
      <w:marTop w:val="0"/>
      <w:marBottom w:val="0"/>
      <w:divBdr>
        <w:top w:val="none" w:sz="0" w:space="0" w:color="auto"/>
        <w:left w:val="none" w:sz="0" w:space="0" w:color="auto"/>
        <w:bottom w:val="none" w:sz="0" w:space="0" w:color="auto"/>
        <w:right w:val="none" w:sz="0" w:space="0" w:color="auto"/>
      </w:divBdr>
      <w:divsChild>
        <w:div w:id="692846732">
          <w:marLeft w:val="0"/>
          <w:marRight w:val="0"/>
          <w:marTop w:val="0"/>
          <w:marBottom w:val="0"/>
          <w:divBdr>
            <w:top w:val="none" w:sz="0" w:space="0" w:color="auto"/>
            <w:left w:val="none" w:sz="0" w:space="0" w:color="auto"/>
            <w:bottom w:val="none" w:sz="0" w:space="0" w:color="auto"/>
            <w:right w:val="none" w:sz="0" w:space="0" w:color="auto"/>
          </w:divBdr>
          <w:divsChild>
            <w:div w:id="1371493847">
              <w:marLeft w:val="0"/>
              <w:marRight w:val="0"/>
              <w:marTop w:val="0"/>
              <w:marBottom w:val="0"/>
              <w:divBdr>
                <w:top w:val="none" w:sz="0" w:space="0" w:color="auto"/>
                <w:left w:val="none" w:sz="0" w:space="0" w:color="auto"/>
                <w:bottom w:val="none" w:sz="0" w:space="0" w:color="auto"/>
                <w:right w:val="none" w:sz="0" w:space="0" w:color="auto"/>
              </w:divBdr>
            </w:div>
          </w:divsChild>
        </w:div>
        <w:div w:id="338774092">
          <w:marLeft w:val="0"/>
          <w:marRight w:val="0"/>
          <w:marTop w:val="0"/>
          <w:marBottom w:val="0"/>
          <w:divBdr>
            <w:top w:val="none" w:sz="0" w:space="0" w:color="auto"/>
            <w:left w:val="none" w:sz="0" w:space="0" w:color="auto"/>
            <w:bottom w:val="none" w:sz="0" w:space="0" w:color="auto"/>
            <w:right w:val="none" w:sz="0" w:space="0" w:color="auto"/>
          </w:divBdr>
        </w:div>
        <w:div w:id="1708218142">
          <w:marLeft w:val="0"/>
          <w:marRight w:val="0"/>
          <w:marTop w:val="0"/>
          <w:marBottom w:val="0"/>
          <w:divBdr>
            <w:top w:val="none" w:sz="0" w:space="0" w:color="auto"/>
            <w:left w:val="none" w:sz="0" w:space="0" w:color="auto"/>
            <w:bottom w:val="none" w:sz="0" w:space="0" w:color="auto"/>
            <w:right w:val="none" w:sz="0" w:space="0" w:color="auto"/>
          </w:divBdr>
          <w:divsChild>
            <w:div w:id="614294457">
              <w:marLeft w:val="0"/>
              <w:marRight w:val="0"/>
              <w:marTop w:val="0"/>
              <w:marBottom w:val="0"/>
              <w:divBdr>
                <w:top w:val="none" w:sz="0" w:space="0" w:color="auto"/>
                <w:left w:val="none" w:sz="0" w:space="0" w:color="auto"/>
                <w:bottom w:val="none" w:sz="0" w:space="0" w:color="auto"/>
                <w:right w:val="none" w:sz="0" w:space="0" w:color="auto"/>
              </w:divBdr>
              <w:divsChild>
                <w:div w:id="1131021640">
                  <w:marLeft w:val="0"/>
                  <w:marRight w:val="0"/>
                  <w:marTop w:val="0"/>
                  <w:marBottom w:val="0"/>
                  <w:divBdr>
                    <w:top w:val="none" w:sz="0" w:space="0" w:color="auto"/>
                    <w:left w:val="none" w:sz="0" w:space="0" w:color="auto"/>
                    <w:bottom w:val="none" w:sz="0" w:space="0" w:color="auto"/>
                    <w:right w:val="none" w:sz="0" w:space="0" w:color="auto"/>
                  </w:divBdr>
                  <w:divsChild>
                    <w:div w:id="303315240">
                      <w:marLeft w:val="0"/>
                      <w:marRight w:val="0"/>
                      <w:marTop w:val="0"/>
                      <w:marBottom w:val="0"/>
                      <w:divBdr>
                        <w:top w:val="none" w:sz="0" w:space="0" w:color="auto"/>
                        <w:left w:val="none" w:sz="0" w:space="0" w:color="auto"/>
                        <w:bottom w:val="none" w:sz="0" w:space="0" w:color="auto"/>
                        <w:right w:val="none" w:sz="0" w:space="0" w:color="auto"/>
                      </w:divBdr>
                      <w:divsChild>
                        <w:div w:id="1044906835">
                          <w:marLeft w:val="0"/>
                          <w:marRight w:val="0"/>
                          <w:marTop w:val="0"/>
                          <w:marBottom w:val="0"/>
                          <w:divBdr>
                            <w:top w:val="none" w:sz="0" w:space="0" w:color="auto"/>
                            <w:left w:val="none" w:sz="0" w:space="0" w:color="auto"/>
                            <w:bottom w:val="none" w:sz="0" w:space="0" w:color="auto"/>
                            <w:right w:val="none" w:sz="0" w:space="0" w:color="auto"/>
                          </w:divBdr>
                          <w:divsChild>
                            <w:div w:id="2145614401">
                              <w:marLeft w:val="0"/>
                              <w:marRight w:val="0"/>
                              <w:marTop w:val="0"/>
                              <w:marBottom w:val="0"/>
                              <w:divBdr>
                                <w:top w:val="none" w:sz="0" w:space="0" w:color="auto"/>
                                <w:left w:val="none" w:sz="0" w:space="0" w:color="auto"/>
                                <w:bottom w:val="none" w:sz="0" w:space="0" w:color="auto"/>
                                <w:right w:val="none" w:sz="0" w:space="0" w:color="auto"/>
                              </w:divBdr>
                              <w:divsChild>
                                <w:div w:id="1636713680">
                                  <w:marLeft w:val="0"/>
                                  <w:marRight w:val="0"/>
                                  <w:marTop w:val="0"/>
                                  <w:marBottom w:val="0"/>
                                  <w:divBdr>
                                    <w:top w:val="none" w:sz="0" w:space="0" w:color="auto"/>
                                    <w:left w:val="none" w:sz="0" w:space="0" w:color="auto"/>
                                    <w:bottom w:val="none" w:sz="0" w:space="0" w:color="auto"/>
                                    <w:right w:val="none" w:sz="0" w:space="0" w:color="auto"/>
                                  </w:divBdr>
                                  <w:divsChild>
                                    <w:div w:id="9001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pharmacovigilance" TargetMode="External"/><Relationship Id="rId13" Type="http://schemas.openxmlformats.org/officeDocument/2006/relationships/hyperlink" Target="https://www.ema.europa.eu/en/glossary/prac" TargetMode="External"/><Relationship Id="rId3" Type="http://schemas.openxmlformats.org/officeDocument/2006/relationships/webSettings" Target="webSettings.xml"/><Relationship Id="rId7" Type="http://schemas.openxmlformats.org/officeDocument/2006/relationships/hyperlink" Target="https://www.ema.europa.eu/en/glossary/adverse-event" TargetMode="External"/><Relationship Id="rId12" Type="http://schemas.openxmlformats.org/officeDocument/2006/relationships/hyperlink" Target="https://www.ema.europa.eu/en/glossary/pharmacovigilanc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ma.europa.eu/en/glossary/safety-signal" TargetMode="External"/><Relationship Id="rId11" Type="http://schemas.openxmlformats.org/officeDocument/2006/relationships/hyperlink" Target="https://www.ema.europa.eu/en/glossary/pharmacovigilance" TargetMode="External"/><Relationship Id="rId5" Type="http://schemas.openxmlformats.org/officeDocument/2006/relationships/hyperlink" Target="https://www.ema.europa.eu/en/glossary/safety-signal" TargetMode="External"/><Relationship Id="rId15" Type="http://schemas.openxmlformats.org/officeDocument/2006/relationships/hyperlink" Target="https://www.ema.europa.eu/en/glossary/product-information" TargetMode="External"/><Relationship Id="rId10" Type="http://schemas.openxmlformats.org/officeDocument/2006/relationships/hyperlink" Target="https://www.ema.europa.eu/en/glossary/national-competent-authority" TargetMode="External"/><Relationship Id="rId4" Type="http://schemas.openxmlformats.org/officeDocument/2006/relationships/hyperlink" Target="https://www.ema.europa.eu/en/glossary/pharmacovigilance" TargetMode="External"/><Relationship Id="rId9" Type="http://schemas.openxmlformats.org/officeDocument/2006/relationships/hyperlink" Target="https://www.ema.europa.eu/en/glossary/pharmacovigilance" TargetMode="External"/><Relationship Id="rId14" Type="http://schemas.openxmlformats.org/officeDocument/2006/relationships/hyperlink" Target="https://www.ema.europa.eu/en/glossary/p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2020-02-18T10:38:00Z</dcterms:created>
  <dcterms:modified xsi:type="dcterms:W3CDTF">2020-05-11T09:17:00Z</dcterms:modified>
</cp:coreProperties>
</file>