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0BE45" w14:textId="77777777" w:rsidR="00326B56" w:rsidRPr="00326B56" w:rsidRDefault="00326B56" w:rsidP="00326B56">
      <w:pPr>
        <w:outlineLvl w:val="0"/>
        <w:rPr>
          <w:rFonts w:ascii="Verdana" w:eastAsia="Times New Roman" w:hAnsi="Verdana" w:cs="Times New Roman"/>
          <w:color w:val="000000"/>
          <w:kern w:val="36"/>
          <w:sz w:val="48"/>
          <w:szCs w:val="48"/>
        </w:rPr>
      </w:pPr>
      <w:r w:rsidRPr="00326B56">
        <w:rPr>
          <w:rFonts w:ascii="Verdana" w:eastAsia="Times New Roman" w:hAnsi="Verdana" w:cs="Times New Roman"/>
          <w:color w:val="000000"/>
          <w:kern w:val="36"/>
          <w:sz w:val="48"/>
          <w:szCs w:val="48"/>
        </w:rPr>
        <w:t>Committee for Medicinal Products for Veterinary Use (CVMP) meeting of 10-12 September 2019</w:t>
      </w:r>
    </w:p>
    <w:p w14:paraId="5340606B" w14:textId="77777777" w:rsidR="00326B56" w:rsidRPr="00326B56" w:rsidRDefault="00326B56" w:rsidP="00326B56">
      <w:pPr>
        <w:rPr>
          <w:rFonts w:ascii="Times New Roman" w:eastAsia="Times New Roman" w:hAnsi="Times New Roman" w:cs="Times New Roman"/>
        </w:rPr>
      </w:pPr>
      <w:r w:rsidRPr="00326B56">
        <w:rPr>
          <w:rFonts w:ascii="Verdana" w:eastAsia="Times New Roman" w:hAnsi="Verdana" w:cs="Times New Roman"/>
          <w:color w:val="000000"/>
        </w:rPr>
        <w:t> </w:t>
      </w:r>
    </w:p>
    <w:p w14:paraId="67BFBA04" w14:textId="77777777" w:rsidR="00326B56" w:rsidRPr="00326B56" w:rsidRDefault="00326B56" w:rsidP="00326B56">
      <w:pPr>
        <w:rPr>
          <w:rFonts w:ascii="Verdana" w:eastAsia="Times New Roman" w:hAnsi="Verdana" w:cs="Times New Roman"/>
          <w:color w:val="000000"/>
        </w:rPr>
      </w:pPr>
      <w:r w:rsidRPr="00326B56">
        <w:rPr>
          <w:rFonts w:ascii="Verdana" w:eastAsia="Times New Roman" w:hAnsi="Verdana" w:cs="Times New Roman"/>
          <w:color w:val="000000"/>
        </w:rPr>
        <w:t>Share</w:t>
      </w:r>
    </w:p>
    <w:p w14:paraId="415020CB" w14:textId="77777777" w:rsidR="00326B56" w:rsidRPr="00326B56" w:rsidRDefault="00326B56" w:rsidP="00326B56">
      <w:pPr>
        <w:rPr>
          <w:rFonts w:ascii="Verdana" w:eastAsia="Times New Roman" w:hAnsi="Verdana" w:cs="Times New Roman"/>
          <w:color w:val="000000"/>
        </w:rPr>
      </w:pPr>
      <w:r w:rsidRPr="00326B56">
        <w:rPr>
          <w:rFonts w:ascii="Verdana" w:eastAsia="Times New Roman" w:hAnsi="Verdana" w:cs="Times New Roman"/>
          <w:color w:val="000000"/>
        </w:rPr>
        <w:t>Press release 13/09/2019</w:t>
      </w:r>
    </w:p>
    <w:p w14:paraId="3A06D075" w14:textId="77777777" w:rsidR="00326B56" w:rsidRPr="00326B56" w:rsidRDefault="00326B56" w:rsidP="00326B56">
      <w:pPr>
        <w:spacing w:before="100" w:beforeAutospacing="1" w:after="100" w:afterAutospacing="1"/>
        <w:outlineLvl w:val="3"/>
        <w:rPr>
          <w:rFonts w:ascii="Verdana" w:eastAsia="Times New Roman" w:hAnsi="Verdana" w:cs="Times New Roman"/>
          <w:b/>
          <w:bCs/>
          <w:color w:val="404040"/>
        </w:rPr>
      </w:pPr>
      <w:r w:rsidRPr="00326B56">
        <w:rPr>
          <w:rFonts w:ascii="Verdana" w:eastAsia="Times New Roman" w:hAnsi="Verdana" w:cs="Times New Roman"/>
          <w:b/>
          <w:bCs/>
          <w:color w:val="404040"/>
        </w:rPr>
        <w:t>CVMP recommends authorisation of two new vaccines</w:t>
      </w:r>
    </w:p>
    <w:p w14:paraId="3277E1A3" w14:textId="77777777" w:rsidR="00326B56" w:rsidRPr="00326B56" w:rsidRDefault="00326B56" w:rsidP="00326B56">
      <w:pPr>
        <w:spacing w:beforeAutospacing="1" w:afterAutospacing="1"/>
        <w:rPr>
          <w:rFonts w:ascii="Verdana" w:eastAsia="Times New Roman" w:hAnsi="Verdana" w:cs="Times New Roman"/>
          <w:color w:val="000000"/>
        </w:rPr>
      </w:pPr>
      <w:hyperlink r:id="rId5"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326B56">
          <w:rPr>
            <w:rFonts w:ascii="Verdana" w:eastAsia="Times New Roman" w:hAnsi="Verdana" w:cs="Times New Roman"/>
            <w:b/>
            <w:bCs/>
            <w:color w:val="000000"/>
            <w:u w:val="single"/>
          </w:rPr>
          <w:t>CVMP</w:t>
        </w:r>
      </w:hyperlink>
      <w:r w:rsidRPr="00326B56">
        <w:rPr>
          <w:rFonts w:ascii="Verdana" w:eastAsia="Times New Roman" w:hAnsi="Verdana" w:cs="Times New Roman"/>
          <w:b/>
          <w:bCs/>
          <w:color w:val="000000"/>
        </w:rPr>
        <w:t> opinions on veterinary </w:t>
      </w:r>
      <w:hyperlink r:id="rId6" w:tgtFrame="_blank" w:tooltip="A substance or combination of substances that is intended to treat, prevent or diagnose a disease, or to restore, correct or modify physiological functions by exerting a pharmacological, immunological or metabolic action." w:history="1">
        <w:r w:rsidRPr="00326B56">
          <w:rPr>
            <w:rFonts w:ascii="Verdana" w:eastAsia="Times New Roman" w:hAnsi="Verdana" w:cs="Times New Roman"/>
            <w:b/>
            <w:bCs/>
            <w:color w:val="000000"/>
            <w:u w:val="single"/>
          </w:rPr>
          <w:t>medicinal products</w:t>
        </w:r>
      </w:hyperlink>
    </w:p>
    <w:p w14:paraId="3C17E87B"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adopted by majority a positive opinion for an initial </w:t>
      </w:r>
      <w:hyperlink r:id="rId7" w:tgtFrame="_blank" w:tooltip="An application made to a European regulatory authority for approval to market a medicine within the European Union." w:history="1">
        <w:r w:rsidRPr="00326B56">
          <w:rPr>
            <w:rFonts w:ascii="Verdana" w:eastAsia="Times New Roman" w:hAnsi="Verdana" w:cs="Times New Roman"/>
            <w:color w:val="000000"/>
            <w:u w:val="single"/>
          </w:rPr>
          <w:t>marketing authorisation application</w:t>
        </w:r>
      </w:hyperlink>
      <w:r w:rsidRPr="00326B56">
        <w:rPr>
          <w:rFonts w:ascii="Verdana" w:eastAsia="Times New Roman" w:hAnsi="Verdana" w:cs="Times New Roman"/>
          <w:color w:val="000000"/>
        </w:rPr>
        <w:t> for </w:t>
      </w:r>
      <w:r w:rsidRPr="00326B56">
        <w:rPr>
          <w:rFonts w:ascii="Verdana" w:eastAsia="Times New Roman" w:hAnsi="Verdana" w:cs="Times New Roman"/>
          <w:b/>
          <w:bCs/>
          <w:color w:val="000000"/>
        </w:rPr>
        <w:t>Gumbohatch</w:t>
      </w:r>
      <w:r w:rsidRPr="00326B56">
        <w:rPr>
          <w:rFonts w:ascii="Verdana" w:eastAsia="Times New Roman" w:hAnsi="Verdana" w:cs="Times New Roman"/>
          <w:color w:val="000000"/>
        </w:rPr>
        <w:t>, from Laboratorios Hipra, S.A., a new vaccine for the active immunisation of 1-day-old broiler chicks and embryonated broiler chicken eggs to reduce clinical signs and lesions of the bursa of Fabricius caused by very virulent avian infectious bursal disease virus infection.</w:t>
      </w:r>
    </w:p>
    <w:p w14:paraId="7C3E8E59"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adopted by consensus a positive opinion for an initial </w:t>
      </w:r>
      <w:hyperlink r:id="rId8" w:tgtFrame="_blank" w:tooltip="An application made to a European regulatory authority for approval to market a medicine within the European Union." w:history="1">
        <w:r w:rsidRPr="00326B56">
          <w:rPr>
            <w:rFonts w:ascii="Verdana" w:eastAsia="Times New Roman" w:hAnsi="Verdana" w:cs="Times New Roman"/>
            <w:color w:val="000000"/>
            <w:u w:val="single"/>
          </w:rPr>
          <w:t>marketing authorisation application</w:t>
        </w:r>
      </w:hyperlink>
      <w:r w:rsidRPr="00326B56">
        <w:rPr>
          <w:rFonts w:ascii="Verdana" w:eastAsia="Times New Roman" w:hAnsi="Verdana" w:cs="Times New Roman"/>
          <w:color w:val="000000"/>
        </w:rPr>
        <w:t> for </w:t>
      </w:r>
      <w:r w:rsidRPr="00326B56">
        <w:rPr>
          <w:rFonts w:ascii="Verdana" w:eastAsia="Times New Roman" w:hAnsi="Verdana" w:cs="Times New Roman"/>
          <w:b/>
          <w:bCs/>
          <w:color w:val="000000"/>
        </w:rPr>
        <w:t>Nobivac Myxo RHD Plus</w:t>
      </w:r>
      <w:r w:rsidRPr="00326B56">
        <w:rPr>
          <w:rFonts w:ascii="Verdana" w:eastAsia="Times New Roman" w:hAnsi="Verdana" w:cs="Times New Roman"/>
          <w:color w:val="000000"/>
        </w:rPr>
        <w:t>, from Intervet International B.V., a new vaccine for rabbits to reduce mortality and clinical signs of myxomatosis (caused by rabbit myxoma virus) and haemorrhagic disease (caused by classical rabbit haemorrhagic disease virus and RHD type 2 virus). The vaccine is  classified as Minor Use, Minor Species (MUMS)/ limited market.</w:t>
      </w:r>
    </w:p>
    <w:p w14:paraId="06E7DA1B"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adopted by consensus positive opinions for the following </w:t>
      </w:r>
      <w:hyperlink r:id="rId9"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326B56">
          <w:rPr>
            <w:rFonts w:ascii="Verdana" w:eastAsia="Times New Roman" w:hAnsi="Verdana" w:cs="Times New Roman"/>
            <w:color w:val="000000"/>
            <w:u w:val="single"/>
          </w:rPr>
          <w:t>type II variation</w:t>
        </w:r>
      </w:hyperlink>
      <w:r w:rsidRPr="00326B56">
        <w:rPr>
          <w:rFonts w:ascii="Verdana" w:eastAsia="Times New Roman" w:hAnsi="Verdana" w:cs="Times New Roman"/>
          <w:color w:val="000000"/>
        </w:rPr>
        <w:t> applications for:</w:t>
      </w:r>
    </w:p>
    <w:p w14:paraId="07A6F556" w14:textId="77777777" w:rsidR="00326B56" w:rsidRPr="00326B56" w:rsidRDefault="00326B56" w:rsidP="00326B56">
      <w:pPr>
        <w:numPr>
          <w:ilvl w:val="0"/>
          <w:numId w:val="1"/>
        </w:numPr>
        <w:spacing w:beforeAutospacing="1" w:afterAutospacing="1"/>
        <w:rPr>
          <w:rFonts w:ascii="Verdana" w:eastAsia="Times New Roman" w:hAnsi="Verdana" w:cs="Times New Roman"/>
          <w:color w:val="000000"/>
        </w:rPr>
      </w:pPr>
      <w:r w:rsidRPr="00326B56">
        <w:rPr>
          <w:rFonts w:ascii="Verdana" w:eastAsia="Times New Roman" w:hAnsi="Verdana" w:cs="Times New Roman"/>
          <w:b/>
          <w:bCs/>
          <w:color w:val="000000"/>
        </w:rPr>
        <w:t>Bravecto</w:t>
      </w:r>
      <w:r w:rsidRPr="00326B56">
        <w:rPr>
          <w:rFonts w:ascii="Verdana" w:eastAsia="Times New Roman" w:hAnsi="Verdana" w:cs="Times New Roman"/>
          <w:color w:val="000000"/>
        </w:rPr>
        <w:t>, concerning the addition of new therapeutic </w:t>
      </w:r>
      <w:hyperlink r:id="rId10" w:tgtFrame="_blank" w:tooltip="A medical condition that a medicine is used for. This can include the treatment, prevention and diagnosis of a disease." w:history="1">
        <w:r w:rsidRPr="00326B56">
          <w:rPr>
            <w:rFonts w:ascii="Verdana" w:eastAsia="Times New Roman" w:hAnsi="Verdana" w:cs="Times New Roman"/>
            <w:color w:val="000000"/>
            <w:u w:val="single"/>
          </w:rPr>
          <w:t>indications</w:t>
        </w:r>
      </w:hyperlink>
      <w:r w:rsidRPr="00326B56">
        <w:rPr>
          <w:rFonts w:ascii="Verdana" w:eastAsia="Times New Roman" w:hAnsi="Verdana" w:cs="Times New Roman"/>
          <w:color w:val="000000"/>
        </w:rPr>
        <w:t>;</w:t>
      </w:r>
    </w:p>
    <w:p w14:paraId="2B1E8836" w14:textId="77777777" w:rsidR="00326B56" w:rsidRPr="00326B56" w:rsidRDefault="00326B56" w:rsidP="00326B56">
      <w:pPr>
        <w:numPr>
          <w:ilvl w:val="0"/>
          <w:numId w:val="1"/>
        </w:numPr>
        <w:spacing w:before="100" w:beforeAutospacing="1" w:after="100" w:afterAutospacing="1"/>
        <w:rPr>
          <w:rFonts w:ascii="Verdana" w:eastAsia="Times New Roman" w:hAnsi="Verdana" w:cs="Times New Roman"/>
          <w:color w:val="000000"/>
        </w:rPr>
      </w:pPr>
      <w:r w:rsidRPr="00326B56">
        <w:rPr>
          <w:rFonts w:ascii="Verdana" w:eastAsia="Times New Roman" w:hAnsi="Verdana" w:cs="Times New Roman"/>
          <w:b/>
          <w:bCs/>
          <w:color w:val="000000"/>
        </w:rPr>
        <w:t>Posatex</w:t>
      </w:r>
      <w:r w:rsidRPr="00326B56">
        <w:rPr>
          <w:rFonts w:ascii="Verdana" w:eastAsia="Times New Roman" w:hAnsi="Verdana" w:cs="Times New Roman"/>
          <w:color w:val="000000"/>
        </w:rPr>
        <w:t> and </w:t>
      </w:r>
      <w:r w:rsidRPr="00326B56">
        <w:rPr>
          <w:rFonts w:ascii="Verdana" w:eastAsia="Times New Roman" w:hAnsi="Verdana" w:cs="Times New Roman"/>
          <w:b/>
          <w:bCs/>
          <w:color w:val="000000"/>
        </w:rPr>
        <w:t>Rhiniseng</w:t>
      </w:r>
      <w:r w:rsidRPr="00326B56">
        <w:rPr>
          <w:rFonts w:ascii="Verdana" w:eastAsia="Times New Roman" w:hAnsi="Verdana" w:cs="Times New Roman"/>
          <w:color w:val="000000"/>
        </w:rPr>
        <w:t>, concerning quality changes;</w:t>
      </w:r>
    </w:p>
    <w:p w14:paraId="4D5C3A49" w14:textId="77777777" w:rsidR="00326B56" w:rsidRPr="00326B56" w:rsidRDefault="00326B56" w:rsidP="00326B56">
      <w:pPr>
        <w:numPr>
          <w:ilvl w:val="0"/>
          <w:numId w:val="1"/>
        </w:numPr>
        <w:spacing w:beforeAutospacing="1" w:afterAutospacing="1"/>
        <w:rPr>
          <w:rFonts w:ascii="Verdana" w:eastAsia="Times New Roman" w:hAnsi="Verdana" w:cs="Times New Roman"/>
          <w:color w:val="000000"/>
        </w:rPr>
      </w:pPr>
      <w:r w:rsidRPr="00326B56">
        <w:rPr>
          <w:rFonts w:ascii="Verdana" w:eastAsia="Times New Roman" w:hAnsi="Verdana" w:cs="Times New Roman"/>
          <w:b/>
          <w:bCs/>
          <w:color w:val="000000"/>
        </w:rPr>
        <w:t>Quadrisol</w:t>
      </w:r>
      <w:r w:rsidRPr="00326B56">
        <w:rPr>
          <w:rFonts w:ascii="Verdana" w:eastAsia="Times New Roman" w:hAnsi="Verdana" w:cs="Times New Roman"/>
          <w:color w:val="000000"/>
        </w:rPr>
        <w:t>, concerning a new </w:t>
      </w:r>
      <w:hyperlink r:id="rId11" w:tgtFrame="_blank" w:tooltip="Science and activities relating to the detection, assessment, understanding and prevention of adverse effects or any other medicine-related problem. &#13; &#13; More information can be found under 'Pharmacovigilance -  Overview'." w:history="1">
        <w:r w:rsidRPr="00326B56">
          <w:rPr>
            <w:rFonts w:ascii="Verdana" w:eastAsia="Times New Roman" w:hAnsi="Verdana" w:cs="Times New Roman"/>
            <w:color w:val="000000"/>
            <w:u w:val="single"/>
          </w:rPr>
          <w:t>pharmacovigilance</w:t>
        </w:r>
      </w:hyperlink>
      <w:r w:rsidRPr="00326B56">
        <w:rPr>
          <w:rFonts w:ascii="Verdana" w:eastAsia="Times New Roman" w:hAnsi="Verdana" w:cs="Times New Roman"/>
          <w:color w:val="000000"/>
        </w:rPr>
        <w:t> system;</w:t>
      </w:r>
    </w:p>
    <w:p w14:paraId="6634E4F9" w14:textId="77777777" w:rsidR="00326B56" w:rsidRPr="00326B56" w:rsidRDefault="00326B56" w:rsidP="00326B56">
      <w:pPr>
        <w:numPr>
          <w:ilvl w:val="0"/>
          <w:numId w:val="1"/>
        </w:numPr>
        <w:spacing w:before="100" w:beforeAutospacing="1" w:after="100" w:afterAutospacing="1"/>
        <w:rPr>
          <w:rFonts w:ascii="Verdana" w:eastAsia="Times New Roman" w:hAnsi="Verdana" w:cs="Times New Roman"/>
          <w:color w:val="000000"/>
        </w:rPr>
      </w:pPr>
      <w:r w:rsidRPr="00326B56">
        <w:rPr>
          <w:rFonts w:ascii="Verdana" w:eastAsia="Times New Roman" w:hAnsi="Verdana" w:cs="Times New Roman"/>
          <w:b/>
          <w:bCs/>
          <w:color w:val="000000"/>
        </w:rPr>
        <w:t>Vectra Felis, </w:t>
      </w:r>
      <w:r w:rsidRPr="00326B56">
        <w:rPr>
          <w:rFonts w:ascii="Verdana" w:eastAsia="Times New Roman" w:hAnsi="Verdana" w:cs="Times New Roman"/>
          <w:color w:val="000000"/>
        </w:rPr>
        <w:t>concerning change of the legal status from prescription-only to non-prescription veterinary medicine.</w:t>
      </w:r>
    </w:p>
    <w:p w14:paraId="16411839"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adopted by consensus a negative opinion for a </w:t>
      </w:r>
      <w:hyperlink r:id="rId12"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326B56">
          <w:rPr>
            <w:rFonts w:ascii="Verdana" w:eastAsia="Times New Roman" w:hAnsi="Verdana" w:cs="Times New Roman"/>
            <w:color w:val="000000"/>
            <w:u w:val="single"/>
          </w:rPr>
          <w:t>type II variation</w:t>
        </w:r>
      </w:hyperlink>
      <w:r w:rsidRPr="00326B56">
        <w:rPr>
          <w:rFonts w:ascii="Verdana" w:eastAsia="Times New Roman" w:hAnsi="Verdana" w:cs="Times New Roman"/>
          <w:color w:val="000000"/>
        </w:rPr>
        <w:t> application for </w:t>
      </w:r>
      <w:r w:rsidRPr="00326B56">
        <w:rPr>
          <w:rFonts w:ascii="Verdana" w:eastAsia="Times New Roman" w:hAnsi="Verdana" w:cs="Times New Roman"/>
          <w:b/>
          <w:bCs/>
          <w:color w:val="000000"/>
        </w:rPr>
        <w:t>Velactis</w:t>
      </w:r>
      <w:r w:rsidRPr="00326B56">
        <w:rPr>
          <w:rFonts w:ascii="Verdana" w:eastAsia="Times New Roman" w:hAnsi="Verdana" w:cs="Times New Roman"/>
          <w:color w:val="000000"/>
        </w:rPr>
        <w:t> to change the current conditions of use and provide further risk management measures to allow the safe use in the target species, and, consequently, the </w:t>
      </w:r>
      <w:hyperlink r:id="rId13" w:tgtFrame="_blank" w:tooltip="The approval to market a medicine in one, several or all European Union Member States." w:history="1">
        <w:r w:rsidRPr="00326B56">
          <w:rPr>
            <w:rFonts w:ascii="Verdana" w:eastAsia="Times New Roman" w:hAnsi="Verdana" w:cs="Times New Roman"/>
            <w:color w:val="000000"/>
            <w:u w:val="single"/>
          </w:rPr>
          <w:t>marketing authorisation</w:t>
        </w:r>
      </w:hyperlink>
      <w:r w:rsidRPr="00326B56">
        <w:rPr>
          <w:rFonts w:ascii="Verdana" w:eastAsia="Times New Roman" w:hAnsi="Verdana" w:cs="Times New Roman"/>
          <w:color w:val="000000"/>
        </w:rPr>
        <w:t> remains suspended.</w:t>
      </w:r>
    </w:p>
    <w:p w14:paraId="5A4B0E88"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lastRenderedPageBreak/>
        <w:t>More information about the above-mentioned medicines, including their full </w:t>
      </w:r>
      <w:hyperlink r:id="rId14" w:tgtFrame="_blank" w:tooltip="A medical condition that a medicine is used for. This can include the treatment, prevention and diagnosis of a disease." w:history="1">
        <w:r w:rsidRPr="00326B56">
          <w:rPr>
            <w:rFonts w:ascii="Verdana" w:eastAsia="Times New Roman" w:hAnsi="Verdana" w:cs="Times New Roman"/>
            <w:color w:val="000000"/>
            <w:u w:val="single"/>
          </w:rPr>
          <w:t>indications</w:t>
        </w:r>
      </w:hyperlink>
      <w:r w:rsidRPr="00326B56">
        <w:rPr>
          <w:rFonts w:ascii="Verdana" w:eastAsia="Times New Roman" w:hAnsi="Verdana" w:cs="Times New Roman"/>
          <w:color w:val="000000"/>
        </w:rPr>
        <w:t>, will be published on the Agency’s website.</w:t>
      </w:r>
    </w:p>
    <w:p w14:paraId="0C7970B8" w14:textId="77777777" w:rsidR="00326B56" w:rsidRPr="00326B56" w:rsidRDefault="00326B56" w:rsidP="00326B56">
      <w:pPr>
        <w:spacing w:before="100" w:beforeAutospacing="1" w:after="100" w:afterAutospacing="1"/>
        <w:outlineLvl w:val="3"/>
        <w:rPr>
          <w:rFonts w:ascii="Verdana" w:eastAsia="Times New Roman" w:hAnsi="Verdana" w:cs="Times New Roman"/>
          <w:b/>
          <w:bCs/>
          <w:color w:val="404040"/>
        </w:rPr>
      </w:pPr>
      <w:r w:rsidRPr="00326B56">
        <w:rPr>
          <w:rFonts w:ascii="Verdana" w:eastAsia="Times New Roman" w:hAnsi="Verdana" w:cs="Times New Roman"/>
          <w:b/>
          <w:bCs/>
          <w:color w:val="404040"/>
        </w:rPr>
        <w:t>Renewals of marketing authorisations</w:t>
      </w:r>
    </w:p>
    <w:p w14:paraId="29E5F93E"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adopted by consensus positive opinions for the </w:t>
      </w:r>
      <w:hyperlink r:id="rId15" w:tgtFrame="_blank" w:tooltip="An extension of the validity of a marketing authorisation, which can be for a fixed or indefinite period of time. Initial marketing authorisations are usually valid for five years. &#13; &#13; More information can be found under 'Renewal and annual re-assessment of marketing authorisation'." w:history="1">
        <w:r w:rsidRPr="00326B56">
          <w:rPr>
            <w:rFonts w:ascii="Verdana" w:eastAsia="Times New Roman" w:hAnsi="Verdana" w:cs="Times New Roman"/>
            <w:color w:val="000000"/>
            <w:u w:val="single"/>
          </w:rPr>
          <w:t>renewal</w:t>
        </w:r>
      </w:hyperlink>
      <w:r w:rsidRPr="00326B56">
        <w:rPr>
          <w:rFonts w:ascii="Verdana" w:eastAsia="Times New Roman" w:hAnsi="Verdana" w:cs="Times New Roman"/>
          <w:color w:val="000000"/>
        </w:rPr>
        <w:t> of the </w:t>
      </w:r>
      <w:hyperlink r:id="rId16" w:tgtFrame="_blank" w:tooltip="The approval to market a medicine in one, several or all European Union Member States." w:history="1">
        <w:r w:rsidRPr="00326B56">
          <w:rPr>
            <w:rFonts w:ascii="Verdana" w:eastAsia="Times New Roman" w:hAnsi="Verdana" w:cs="Times New Roman"/>
            <w:color w:val="000000"/>
            <w:u w:val="single"/>
          </w:rPr>
          <w:t>marketing authorisations</w:t>
        </w:r>
      </w:hyperlink>
      <w:r w:rsidRPr="00326B56">
        <w:rPr>
          <w:rFonts w:ascii="Verdana" w:eastAsia="Times New Roman" w:hAnsi="Verdana" w:cs="Times New Roman"/>
          <w:color w:val="000000"/>
        </w:rPr>
        <w:t> for </w:t>
      </w:r>
      <w:r w:rsidRPr="00326B56">
        <w:rPr>
          <w:rFonts w:ascii="Verdana" w:eastAsia="Times New Roman" w:hAnsi="Verdana" w:cs="Times New Roman"/>
          <w:b/>
          <w:bCs/>
          <w:color w:val="000000"/>
        </w:rPr>
        <w:t>Bovela</w:t>
      </w:r>
      <w:r w:rsidRPr="00326B56">
        <w:rPr>
          <w:rFonts w:ascii="Verdana" w:eastAsia="Times New Roman" w:hAnsi="Verdana" w:cs="Times New Roman"/>
          <w:color w:val="000000"/>
        </w:rPr>
        <w:t>, </w:t>
      </w:r>
      <w:r w:rsidRPr="00326B56">
        <w:rPr>
          <w:rFonts w:ascii="Verdana" w:eastAsia="Times New Roman" w:hAnsi="Verdana" w:cs="Times New Roman"/>
          <w:b/>
          <w:bCs/>
          <w:color w:val="000000"/>
        </w:rPr>
        <w:t>Nexgard Spectra</w:t>
      </w:r>
      <w:r w:rsidRPr="00326B56">
        <w:rPr>
          <w:rFonts w:ascii="Verdana" w:eastAsia="Times New Roman" w:hAnsi="Verdana" w:cs="Times New Roman"/>
          <w:color w:val="000000"/>
        </w:rPr>
        <w:t> and </w:t>
      </w:r>
      <w:r w:rsidRPr="00326B56">
        <w:rPr>
          <w:rFonts w:ascii="Verdana" w:eastAsia="Times New Roman" w:hAnsi="Verdana" w:cs="Times New Roman"/>
          <w:b/>
          <w:bCs/>
          <w:color w:val="000000"/>
        </w:rPr>
        <w:t>Suvaxyn CSF Marker</w:t>
      </w:r>
      <w:r w:rsidRPr="00326B56">
        <w:rPr>
          <w:rFonts w:ascii="Verdana" w:eastAsia="Times New Roman" w:hAnsi="Verdana" w:cs="Times New Roman"/>
          <w:color w:val="000000"/>
        </w:rPr>
        <w:t>. The Committee, having re-assessed the benefit-risk balance of these products, concluded that the quality, safety and </w:t>
      </w:r>
      <w:hyperlink r:id="rId17" w:tgtFrame="_blank" w:tooltip="The measurement of a medicine's desired effect under ideal conditions, such as in a clinical trial." w:history="1">
        <w:r w:rsidRPr="00326B56">
          <w:rPr>
            <w:rFonts w:ascii="Verdana" w:eastAsia="Times New Roman" w:hAnsi="Verdana" w:cs="Times New Roman"/>
            <w:color w:val="000000"/>
            <w:u w:val="single"/>
          </w:rPr>
          <w:t>efficacy</w:t>
        </w:r>
      </w:hyperlink>
      <w:r w:rsidRPr="00326B56">
        <w:rPr>
          <w:rFonts w:ascii="Verdana" w:eastAsia="Times New Roman" w:hAnsi="Verdana" w:cs="Times New Roman"/>
          <w:color w:val="000000"/>
        </w:rPr>
        <w:t> continue to be appropriately demonstrated and, therefore, recommended the </w:t>
      </w:r>
      <w:hyperlink r:id="rId18" w:tgtFrame="_blank" w:tooltip="An extension of the validity of a marketing authorisation, which can be for a fixed or indefinite period of time. Initial marketing authorisations are usually valid for five years. &#13; &#13; More information can be found under 'Renewal and annual re-assessment of marketing authorisation'." w:history="1">
        <w:r w:rsidRPr="00326B56">
          <w:rPr>
            <w:rFonts w:ascii="Verdana" w:eastAsia="Times New Roman" w:hAnsi="Verdana" w:cs="Times New Roman"/>
            <w:color w:val="000000"/>
            <w:u w:val="single"/>
          </w:rPr>
          <w:t>renewal</w:t>
        </w:r>
      </w:hyperlink>
      <w:r w:rsidRPr="00326B56">
        <w:rPr>
          <w:rFonts w:ascii="Verdana" w:eastAsia="Times New Roman" w:hAnsi="Verdana" w:cs="Times New Roman"/>
          <w:color w:val="000000"/>
        </w:rPr>
        <w:t> of the </w:t>
      </w:r>
      <w:hyperlink r:id="rId19" w:tgtFrame="_blank" w:tooltip="The approval to market a medicine in one, several or all European Union Member States." w:history="1">
        <w:r w:rsidRPr="00326B56">
          <w:rPr>
            <w:rFonts w:ascii="Verdana" w:eastAsia="Times New Roman" w:hAnsi="Verdana" w:cs="Times New Roman"/>
            <w:color w:val="000000"/>
            <w:u w:val="single"/>
          </w:rPr>
          <w:t>marketing authorisations</w:t>
        </w:r>
      </w:hyperlink>
      <w:r w:rsidRPr="00326B56">
        <w:rPr>
          <w:rFonts w:ascii="Verdana" w:eastAsia="Times New Roman" w:hAnsi="Verdana" w:cs="Times New Roman"/>
          <w:color w:val="000000"/>
        </w:rPr>
        <w:t>.</w:t>
      </w:r>
    </w:p>
    <w:p w14:paraId="7697946A" w14:textId="77777777" w:rsidR="00326B56" w:rsidRPr="00326B56" w:rsidRDefault="00326B56" w:rsidP="00326B56">
      <w:pPr>
        <w:spacing w:before="100" w:beforeAutospacing="1" w:after="100" w:afterAutospacing="1"/>
        <w:outlineLvl w:val="3"/>
        <w:rPr>
          <w:rFonts w:ascii="Verdana" w:eastAsia="Times New Roman" w:hAnsi="Verdana" w:cs="Times New Roman"/>
          <w:b/>
          <w:bCs/>
          <w:color w:val="404040"/>
        </w:rPr>
      </w:pPr>
      <w:r w:rsidRPr="00326B56">
        <w:rPr>
          <w:rFonts w:ascii="Verdana" w:eastAsia="Times New Roman" w:hAnsi="Verdana" w:cs="Times New Roman"/>
          <w:b/>
          <w:bCs/>
          <w:color w:val="404040"/>
        </w:rPr>
        <w:t>Community referrals and related procedures</w:t>
      </w:r>
    </w:p>
    <w:p w14:paraId="30259EFE"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started a procedure for </w:t>
      </w:r>
      <w:r w:rsidRPr="00326B56">
        <w:rPr>
          <w:rFonts w:ascii="Verdana" w:eastAsia="Times New Roman" w:hAnsi="Verdana" w:cs="Times New Roman"/>
          <w:b/>
          <w:bCs/>
          <w:color w:val="000000"/>
        </w:rPr>
        <w:t>Ronaxan and its associated names</w:t>
      </w:r>
      <w:r w:rsidRPr="00326B56">
        <w:rPr>
          <w:rFonts w:ascii="Verdana" w:eastAsia="Times New Roman" w:hAnsi="Verdana" w:cs="Times New Roman"/>
          <w:color w:val="000000"/>
        </w:rPr>
        <w:t> (doxycycline hyclate) from Boehringer Ingelheim. The matter was referred to the Committee by Germany under Article 34 of Directive 2001/82/EC due to divergent decisions taken by Member States resulting in differences in the </w:t>
      </w:r>
      <w:hyperlink r:id="rId20"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326B56">
          <w:rPr>
            <w:rFonts w:ascii="Verdana" w:eastAsia="Times New Roman" w:hAnsi="Verdana" w:cs="Times New Roman"/>
            <w:color w:val="000000"/>
            <w:u w:val="single"/>
          </w:rPr>
          <w:t>product information</w:t>
        </w:r>
      </w:hyperlink>
      <w:r w:rsidRPr="00326B56">
        <w:rPr>
          <w:rFonts w:ascii="Verdana" w:eastAsia="Times New Roman" w:hAnsi="Verdana" w:cs="Times New Roman"/>
          <w:color w:val="000000"/>
        </w:rPr>
        <w:t>.</w:t>
      </w:r>
    </w:p>
    <w:p w14:paraId="2E51531C"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started a procedure for </w:t>
      </w:r>
      <w:r w:rsidRPr="00326B56">
        <w:rPr>
          <w:rFonts w:ascii="Verdana" w:eastAsia="Times New Roman" w:hAnsi="Verdana" w:cs="Times New Roman"/>
          <w:b/>
          <w:bCs/>
          <w:color w:val="000000"/>
        </w:rPr>
        <w:t>Dinolytic 12.5 mg/ml and 5 mg/ml solutions for injection, and associated names, and generic products thereof </w:t>
      </w:r>
      <w:r w:rsidRPr="00326B56">
        <w:rPr>
          <w:rFonts w:ascii="Verdana" w:eastAsia="Times New Roman" w:hAnsi="Verdana" w:cs="Times New Roman"/>
          <w:color w:val="000000"/>
        </w:rPr>
        <w:t>(dinoprost tromethamine). The matter was referred to the Committee by France under Article 35 of Directive 2001/82/EC. This </w:t>
      </w:r>
      <w:hyperlink r:id="rId21" w:tgtFrame="_blank" w:tooltip="An evaluation conducted by a European Medicines Agency committee following a referral from the European Commission or a Member State. Referrals are used to address particular issues, such as safety concerns, to resolve disagreements between Member States on issues related to the authorisation of medicines or to give an opinion on an issue of Europe-wide interest. &#13; &#13; More information can be found under referral procedures (human) and referral procedures (veterinary)." w:history="1">
        <w:r w:rsidRPr="00326B56">
          <w:rPr>
            <w:rFonts w:ascii="Verdana" w:eastAsia="Times New Roman" w:hAnsi="Verdana" w:cs="Times New Roman"/>
            <w:color w:val="000000"/>
            <w:u w:val="single"/>
          </w:rPr>
          <w:t>referral</w:t>
        </w:r>
      </w:hyperlink>
      <w:r w:rsidRPr="00326B56">
        <w:rPr>
          <w:rFonts w:ascii="Verdana" w:eastAsia="Times New Roman" w:hAnsi="Verdana" w:cs="Times New Roman"/>
          <w:color w:val="000000"/>
        </w:rPr>
        <w:t> procedure concerns the appropriateness of the current </w:t>
      </w:r>
      <w:hyperlink r:id="rId22" w:tgtFrame="_blank" w:tooltip="The time that must elapse between the last administration of a veterinary medicine and the slaughter or production of food from that animal, to ensure that the food does not contain levels of the medicine that exceed the maximum residue limit. &#13; &#13; More information can be found under 'Maximum residue limits'." w:history="1">
        <w:r w:rsidRPr="00326B56">
          <w:rPr>
            <w:rFonts w:ascii="Verdana" w:eastAsia="Times New Roman" w:hAnsi="Verdana" w:cs="Times New Roman"/>
            <w:color w:val="000000"/>
            <w:u w:val="single"/>
          </w:rPr>
          <w:t>withdrawal periods</w:t>
        </w:r>
      </w:hyperlink>
      <w:r w:rsidRPr="00326B56">
        <w:rPr>
          <w:rFonts w:ascii="Verdana" w:eastAsia="Times New Roman" w:hAnsi="Verdana" w:cs="Times New Roman"/>
          <w:color w:val="000000"/>
        </w:rPr>
        <w:t> (meat and offal) in cattle for the aforementioned veterinary </w:t>
      </w:r>
      <w:hyperlink r:id="rId23" w:tgtFrame="_blank" w:tooltip="A substance or combination of substances that is intended to treat, prevent or diagnose a disease, or to restore, correct or modify physiological functions by exerting a pharmacological, immunological or metabolic action." w:history="1">
        <w:r w:rsidRPr="00326B56">
          <w:rPr>
            <w:rFonts w:ascii="Verdana" w:eastAsia="Times New Roman" w:hAnsi="Verdana" w:cs="Times New Roman"/>
            <w:color w:val="000000"/>
            <w:u w:val="single"/>
          </w:rPr>
          <w:t>medicinal products</w:t>
        </w:r>
      </w:hyperlink>
      <w:r w:rsidRPr="00326B56">
        <w:rPr>
          <w:rFonts w:ascii="Verdana" w:eastAsia="Times New Roman" w:hAnsi="Verdana" w:cs="Times New Roman"/>
          <w:color w:val="000000"/>
        </w:rPr>
        <w:t>.</w:t>
      </w:r>
    </w:p>
    <w:p w14:paraId="00EE350A" w14:textId="77777777" w:rsidR="00326B56" w:rsidRPr="00326B56" w:rsidRDefault="00326B56" w:rsidP="00326B56">
      <w:pPr>
        <w:spacing w:before="100" w:beforeAutospacing="1" w:after="100" w:afterAutospacing="1"/>
        <w:outlineLvl w:val="3"/>
        <w:rPr>
          <w:rFonts w:ascii="Verdana" w:eastAsia="Times New Roman" w:hAnsi="Verdana" w:cs="Times New Roman"/>
          <w:b/>
          <w:bCs/>
          <w:color w:val="404040"/>
        </w:rPr>
      </w:pPr>
      <w:r w:rsidRPr="00326B56">
        <w:rPr>
          <w:rFonts w:ascii="Verdana" w:eastAsia="Times New Roman" w:hAnsi="Verdana" w:cs="Times New Roman"/>
          <w:b/>
          <w:bCs/>
          <w:color w:val="404040"/>
        </w:rPr>
        <w:t>Scientific advice</w:t>
      </w:r>
    </w:p>
    <w:p w14:paraId="4D756845"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adopted two </w:t>
      </w:r>
      <w:hyperlink r:id="rId24"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326B56">
          <w:rPr>
            <w:rFonts w:ascii="Verdana" w:eastAsia="Times New Roman" w:hAnsi="Verdana" w:cs="Times New Roman"/>
            <w:color w:val="000000"/>
            <w:u w:val="single"/>
          </w:rPr>
          <w:t>scientific advice</w:t>
        </w:r>
      </w:hyperlink>
      <w:r w:rsidRPr="00326B56">
        <w:rPr>
          <w:rFonts w:ascii="Verdana" w:eastAsia="Times New Roman" w:hAnsi="Verdana" w:cs="Times New Roman"/>
          <w:color w:val="000000"/>
        </w:rPr>
        <w:t> reports further to requests for:</w:t>
      </w:r>
    </w:p>
    <w:p w14:paraId="2C2DFC48" w14:textId="77777777" w:rsidR="00326B56" w:rsidRPr="00326B56" w:rsidRDefault="00326B56" w:rsidP="00326B56">
      <w:pPr>
        <w:numPr>
          <w:ilvl w:val="0"/>
          <w:numId w:val="2"/>
        </w:num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Initial advice on quality and </w:t>
      </w:r>
      <w:hyperlink r:id="rId25" w:tgtFrame="_blank" w:tooltip="The measurement of a medicine's desired effect under ideal conditions, such as in a clinical trial." w:history="1">
        <w:r w:rsidRPr="00326B56">
          <w:rPr>
            <w:rFonts w:ascii="Verdana" w:eastAsia="Times New Roman" w:hAnsi="Verdana" w:cs="Times New Roman"/>
            <w:color w:val="000000"/>
            <w:u w:val="single"/>
          </w:rPr>
          <w:t>efficacy</w:t>
        </w:r>
      </w:hyperlink>
      <w:r w:rsidRPr="00326B56">
        <w:rPr>
          <w:rFonts w:ascii="Verdana" w:eastAsia="Times New Roman" w:hAnsi="Verdana" w:cs="Times New Roman"/>
          <w:color w:val="000000"/>
        </w:rPr>
        <w:t> issues for a new immunological veterinary </w:t>
      </w:r>
      <w:hyperlink r:id="rId26" w:tgtFrame="_blank" w:tooltip="A substance or combination of substances that is intended to treat, prevent or diagnose a disease, or to restore, correct or modify physiological functions by exerting a pharmacological, immunological or metabolic action." w:history="1">
        <w:r w:rsidRPr="00326B56">
          <w:rPr>
            <w:rFonts w:ascii="Verdana" w:eastAsia="Times New Roman" w:hAnsi="Verdana" w:cs="Times New Roman"/>
            <w:color w:val="000000"/>
            <w:u w:val="single"/>
          </w:rPr>
          <w:t>medicinal product</w:t>
        </w:r>
      </w:hyperlink>
      <w:r w:rsidRPr="00326B56">
        <w:rPr>
          <w:rFonts w:ascii="Verdana" w:eastAsia="Times New Roman" w:hAnsi="Verdana" w:cs="Times New Roman"/>
          <w:color w:val="000000"/>
        </w:rPr>
        <w:t> for horses;</w:t>
      </w:r>
    </w:p>
    <w:p w14:paraId="7B341398" w14:textId="77777777" w:rsidR="00326B56" w:rsidRPr="00326B56" w:rsidRDefault="00326B56" w:rsidP="00326B56">
      <w:pPr>
        <w:numPr>
          <w:ilvl w:val="0"/>
          <w:numId w:val="2"/>
        </w:num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Initial advice on quality issues for a new veterinary </w:t>
      </w:r>
      <w:hyperlink r:id="rId27" w:tgtFrame="_blank" w:tooltip="A substance or combination of substances that is intended to treat, prevent or diagnose a disease, or to restore, correct or modify physiological functions by exerting a pharmacological, immunological or metabolic action." w:history="1">
        <w:r w:rsidRPr="00326B56">
          <w:rPr>
            <w:rFonts w:ascii="Verdana" w:eastAsia="Times New Roman" w:hAnsi="Verdana" w:cs="Times New Roman"/>
            <w:color w:val="000000"/>
            <w:u w:val="single"/>
          </w:rPr>
          <w:t>medicinal product</w:t>
        </w:r>
      </w:hyperlink>
      <w:r w:rsidRPr="00326B56">
        <w:rPr>
          <w:rFonts w:ascii="Verdana" w:eastAsia="Times New Roman" w:hAnsi="Verdana" w:cs="Times New Roman"/>
          <w:color w:val="000000"/>
        </w:rPr>
        <w:t> for a dermatological </w:t>
      </w:r>
      <w:hyperlink r:id="rId28" w:tgtFrame="_blank" w:tooltip="A medical condition that a medicine is used for. This can include the treatment, prevention and diagnosis of a disease." w:history="1">
        <w:r w:rsidRPr="00326B56">
          <w:rPr>
            <w:rFonts w:ascii="Verdana" w:eastAsia="Times New Roman" w:hAnsi="Verdana" w:cs="Times New Roman"/>
            <w:color w:val="000000"/>
            <w:u w:val="single"/>
          </w:rPr>
          <w:t>indication</w:t>
        </w:r>
      </w:hyperlink>
      <w:r w:rsidRPr="00326B56">
        <w:rPr>
          <w:rFonts w:ascii="Verdana" w:eastAsia="Times New Roman" w:hAnsi="Verdana" w:cs="Times New Roman"/>
          <w:color w:val="000000"/>
        </w:rPr>
        <w:t> in dogs.</w:t>
      </w:r>
    </w:p>
    <w:p w14:paraId="17E0AC53" w14:textId="77777777" w:rsidR="00326B56" w:rsidRPr="00326B56" w:rsidRDefault="00326B56" w:rsidP="00326B56">
      <w:pPr>
        <w:spacing w:before="100" w:beforeAutospacing="1" w:after="100" w:afterAutospacing="1"/>
        <w:outlineLvl w:val="3"/>
        <w:rPr>
          <w:rFonts w:ascii="Verdana" w:eastAsia="Times New Roman" w:hAnsi="Verdana" w:cs="Times New Roman"/>
          <w:b/>
          <w:bCs/>
          <w:color w:val="404040"/>
        </w:rPr>
      </w:pPr>
      <w:r w:rsidRPr="00326B56">
        <w:rPr>
          <w:rFonts w:ascii="Verdana" w:eastAsia="Times New Roman" w:hAnsi="Verdana" w:cs="Times New Roman"/>
          <w:b/>
          <w:bCs/>
          <w:color w:val="404040"/>
        </w:rPr>
        <w:t>Minor use, minor species (MUMS)/limited market</w:t>
      </w:r>
    </w:p>
    <w:p w14:paraId="213FBA9B"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Following the Committee’s review of five requests for classification under the MUMS/limited market policy, the </w:t>
      </w:r>
      <w:hyperlink r:id="rId29"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326B56">
          <w:rPr>
            <w:rFonts w:ascii="Verdana" w:eastAsia="Times New Roman" w:hAnsi="Verdana" w:cs="Times New Roman"/>
            <w:color w:val="000000"/>
            <w:u w:val="single"/>
          </w:rPr>
          <w:t>CVMP</w:t>
        </w:r>
      </w:hyperlink>
      <w:r w:rsidRPr="00326B56">
        <w:rPr>
          <w:rFonts w:ascii="Verdana" w:eastAsia="Times New Roman" w:hAnsi="Verdana" w:cs="Times New Roman"/>
          <w:color w:val="000000"/>
        </w:rPr>
        <w:t> classified:</w:t>
      </w:r>
    </w:p>
    <w:p w14:paraId="24E6869B" w14:textId="77777777" w:rsidR="00326B56" w:rsidRPr="00326B56" w:rsidRDefault="00326B56" w:rsidP="00326B56">
      <w:pPr>
        <w:numPr>
          <w:ilvl w:val="0"/>
          <w:numId w:val="3"/>
        </w:numPr>
        <w:spacing w:before="100" w:beforeAutospacing="1" w:after="100" w:afterAutospacing="1"/>
        <w:rPr>
          <w:rFonts w:ascii="Verdana" w:eastAsia="Times New Roman" w:hAnsi="Verdana" w:cs="Times New Roman"/>
          <w:color w:val="000000"/>
        </w:rPr>
      </w:pPr>
      <w:r w:rsidRPr="00326B56">
        <w:rPr>
          <w:rFonts w:ascii="Verdana" w:eastAsia="Times New Roman" w:hAnsi="Verdana" w:cs="Times New Roman"/>
          <w:color w:val="000000"/>
        </w:rPr>
        <w:t xml:space="preserve">A product (antineoplastic agent) for dogs as indicated for MUMS/limited market and eligible for reduced data requirements, </w:t>
      </w:r>
      <w:r w:rsidRPr="00326B56">
        <w:rPr>
          <w:rFonts w:ascii="Verdana" w:eastAsia="Times New Roman" w:hAnsi="Verdana" w:cs="Times New Roman"/>
          <w:color w:val="000000"/>
        </w:rPr>
        <w:lastRenderedPageBreak/>
        <w:t>where applicable. The product is not eligible for financial incentives as it is intended for use in non-food producing species;</w:t>
      </w:r>
    </w:p>
    <w:p w14:paraId="3AC6A7EC" w14:textId="77777777" w:rsidR="00326B56" w:rsidRPr="00326B56" w:rsidRDefault="00326B56" w:rsidP="00326B56">
      <w:pPr>
        <w:numPr>
          <w:ilvl w:val="0"/>
          <w:numId w:val="3"/>
        </w:num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A product (sensory organ </w:t>
      </w:r>
      <w:hyperlink r:id="rId30" w:tgtFrame="_blank" w:tooltip="A medical condition that a medicine is used for. This can include the treatment, prevention and diagnosis of a disease." w:history="1">
        <w:r w:rsidRPr="00326B56">
          <w:rPr>
            <w:rFonts w:ascii="Verdana" w:eastAsia="Times New Roman" w:hAnsi="Verdana" w:cs="Times New Roman"/>
            <w:color w:val="000000"/>
            <w:u w:val="single"/>
          </w:rPr>
          <w:t>indication</w:t>
        </w:r>
      </w:hyperlink>
      <w:r w:rsidRPr="00326B56">
        <w:rPr>
          <w:rFonts w:ascii="Verdana" w:eastAsia="Times New Roman" w:hAnsi="Verdana" w:cs="Times New Roman"/>
          <w:color w:val="000000"/>
        </w:rPr>
        <w:t>) for dogs as indicated for MUMS/limited market and eligible for reduced data requirements, where applicable. The product is not eligible for financial incentives as it is intended for use in non-food producing species;</w:t>
      </w:r>
    </w:p>
    <w:p w14:paraId="7224EABD" w14:textId="77777777" w:rsidR="00326B56" w:rsidRPr="00326B56" w:rsidRDefault="00326B56" w:rsidP="00326B56">
      <w:pPr>
        <w:numPr>
          <w:ilvl w:val="0"/>
          <w:numId w:val="3"/>
        </w:numPr>
        <w:spacing w:before="100" w:beforeAutospacing="1" w:after="100" w:afterAutospacing="1"/>
        <w:rPr>
          <w:rFonts w:ascii="Verdana" w:eastAsia="Times New Roman" w:hAnsi="Verdana" w:cs="Times New Roman"/>
          <w:color w:val="000000"/>
        </w:rPr>
      </w:pPr>
      <w:r w:rsidRPr="00326B56">
        <w:rPr>
          <w:rFonts w:ascii="Verdana" w:eastAsia="Times New Roman" w:hAnsi="Verdana" w:cs="Times New Roman"/>
          <w:color w:val="000000"/>
        </w:rPr>
        <w:t>A product (immunological product) for horses as indicated for MUMS/limited market and eligible for reduced data requirements, where applicable. Although indicated for horses, the product is exceptionally considered eligible for financial incentives as it is intended for use in food producing animals;</w:t>
      </w:r>
    </w:p>
    <w:p w14:paraId="0D4E44FB" w14:textId="77777777" w:rsidR="00326B56" w:rsidRPr="00326B56" w:rsidRDefault="00326B56" w:rsidP="00326B56">
      <w:pPr>
        <w:numPr>
          <w:ilvl w:val="0"/>
          <w:numId w:val="3"/>
        </w:num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A product (dermatological) for horses as indicated for MUMS/limited market and eligible for reduced data requirements, where applicable. The product is not eligible for financial incentives in line with the Guidance on the classification of veterinary </w:t>
      </w:r>
      <w:hyperlink r:id="rId31" w:tgtFrame="_blank" w:tooltip="A substance or combination of substances that is intended to treat, prevent or diagnose a disease, or to restore, correct or modify physiological functions by exerting a pharmacological, immunological or metabolic action." w:history="1">
        <w:r w:rsidRPr="00326B56">
          <w:rPr>
            <w:rFonts w:ascii="Verdana" w:eastAsia="Times New Roman" w:hAnsi="Verdana" w:cs="Times New Roman"/>
            <w:color w:val="000000"/>
            <w:u w:val="single"/>
          </w:rPr>
          <w:t>medicinal products</w:t>
        </w:r>
      </w:hyperlink>
      <w:r w:rsidRPr="00326B56">
        <w:rPr>
          <w:rFonts w:ascii="Verdana" w:eastAsia="Times New Roman" w:hAnsi="Verdana" w:cs="Times New Roman"/>
          <w:color w:val="000000"/>
        </w:rPr>
        <w:t> indicated for minor use minor species / limited market (EMA/</w:t>
      </w:r>
      <w:hyperlink r:id="rId32"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326B56">
          <w:rPr>
            <w:rFonts w:ascii="Verdana" w:eastAsia="Times New Roman" w:hAnsi="Verdana" w:cs="Times New Roman"/>
            <w:color w:val="000000"/>
            <w:u w:val="single"/>
          </w:rPr>
          <w:t>CVMP</w:t>
        </w:r>
      </w:hyperlink>
      <w:r w:rsidRPr="00326B56">
        <w:rPr>
          <w:rFonts w:ascii="Verdana" w:eastAsia="Times New Roman" w:hAnsi="Verdana" w:cs="Times New Roman"/>
          <w:color w:val="000000"/>
        </w:rPr>
        <w:t>/388694/2014) which indicates products for horses as generally not eligible;</w:t>
      </w:r>
    </w:p>
    <w:p w14:paraId="0EB90F74" w14:textId="77777777" w:rsidR="00326B56" w:rsidRPr="00326B56" w:rsidRDefault="00326B56" w:rsidP="00326B56">
      <w:pPr>
        <w:numPr>
          <w:ilvl w:val="0"/>
          <w:numId w:val="3"/>
        </w:numPr>
        <w:spacing w:before="100" w:beforeAutospacing="1" w:after="100" w:afterAutospacing="1"/>
        <w:rPr>
          <w:rFonts w:ascii="Verdana" w:eastAsia="Times New Roman" w:hAnsi="Verdana" w:cs="Times New Roman"/>
          <w:color w:val="000000"/>
        </w:rPr>
      </w:pPr>
      <w:r w:rsidRPr="00326B56">
        <w:rPr>
          <w:rFonts w:ascii="Verdana" w:eastAsia="Times New Roman" w:hAnsi="Verdana" w:cs="Times New Roman"/>
          <w:color w:val="000000"/>
        </w:rPr>
        <w:t>A product (immunological) for pigs as indicated for MUMS/limited market and eligible for reduced data requirements, where applicable. The product is eligible for financial incentives as it is intended for use in food producing species.</w:t>
      </w:r>
    </w:p>
    <w:p w14:paraId="6C928671" w14:textId="77777777" w:rsidR="00326B56" w:rsidRPr="00326B56" w:rsidRDefault="00326B56" w:rsidP="00326B56">
      <w:pPr>
        <w:spacing w:before="100" w:beforeAutospacing="1" w:after="100" w:afterAutospacing="1"/>
        <w:outlineLvl w:val="3"/>
        <w:rPr>
          <w:rFonts w:ascii="Verdana" w:eastAsia="Times New Roman" w:hAnsi="Verdana" w:cs="Times New Roman"/>
          <w:b/>
          <w:bCs/>
          <w:color w:val="404040"/>
        </w:rPr>
      </w:pPr>
      <w:r w:rsidRPr="00326B56">
        <w:rPr>
          <w:rFonts w:ascii="Verdana" w:eastAsia="Times New Roman" w:hAnsi="Verdana" w:cs="Times New Roman"/>
          <w:b/>
          <w:bCs/>
          <w:color w:val="404040"/>
        </w:rPr>
        <w:t>Pharmacovigilance</w:t>
      </w:r>
    </w:p>
    <w:p w14:paraId="4C3C8AD2"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reviewed the PSURs for </w:t>
      </w:r>
      <w:r w:rsidRPr="00326B56">
        <w:rPr>
          <w:rFonts w:ascii="Verdana" w:eastAsia="Times New Roman" w:hAnsi="Verdana" w:cs="Times New Roman"/>
          <w:b/>
          <w:bCs/>
          <w:color w:val="000000"/>
        </w:rPr>
        <w:t>Bravecto</w:t>
      </w:r>
      <w:r w:rsidRPr="00326B56">
        <w:rPr>
          <w:rFonts w:ascii="Verdana" w:eastAsia="Times New Roman" w:hAnsi="Verdana" w:cs="Times New Roman"/>
          <w:color w:val="000000"/>
        </w:rPr>
        <w:t>, </w:t>
      </w:r>
      <w:r w:rsidRPr="00326B56">
        <w:rPr>
          <w:rFonts w:ascii="Verdana" w:eastAsia="Times New Roman" w:hAnsi="Verdana" w:cs="Times New Roman"/>
          <w:b/>
          <w:bCs/>
          <w:color w:val="000000"/>
        </w:rPr>
        <w:t>Bravecto Plus</w:t>
      </w:r>
      <w:r w:rsidRPr="00326B56">
        <w:rPr>
          <w:rFonts w:ascii="Verdana" w:eastAsia="Times New Roman" w:hAnsi="Verdana" w:cs="Times New Roman"/>
          <w:color w:val="000000"/>
        </w:rPr>
        <w:t>, </w:t>
      </w:r>
      <w:r w:rsidRPr="00326B56">
        <w:rPr>
          <w:rFonts w:ascii="Verdana" w:eastAsia="Times New Roman" w:hAnsi="Verdana" w:cs="Times New Roman"/>
          <w:b/>
          <w:bCs/>
          <w:color w:val="000000"/>
        </w:rPr>
        <w:t>Coxevac </w:t>
      </w:r>
      <w:r w:rsidRPr="00326B56">
        <w:rPr>
          <w:rFonts w:ascii="Verdana" w:eastAsia="Times New Roman" w:hAnsi="Verdana" w:cs="Times New Roman"/>
          <w:color w:val="000000"/>
        </w:rPr>
        <w:t>and </w:t>
      </w:r>
      <w:r w:rsidRPr="00326B56">
        <w:rPr>
          <w:rFonts w:ascii="Verdana" w:eastAsia="Times New Roman" w:hAnsi="Verdana" w:cs="Times New Roman"/>
          <w:b/>
          <w:bCs/>
          <w:color w:val="000000"/>
        </w:rPr>
        <w:t>Osurnia</w:t>
      </w:r>
      <w:r w:rsidRPr="00326B56">
        <w:rPr>
          <w:rFonts w:ascii="Verdana" w:eastAsia="Times New Roman" w:hAnsi="Verdana" w:cs="Times New Roman"/>
          <w:color w:val="000000"/>
        </w:rPr>
        <w:t>, and recommended changes to their </w:t>
      </w:r>
      <w:hyperlink r:id="rId33"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326B56">
          <w:rPr>
            <w:rFonts w:ascii="Verdana" w:eastAsia="Times New Roman" w:hAnsi="Verdana" w:cs="Times New Roman"/>
            <w:color w:val="000000"/>
            <w:u w:val="single"/>
          </w:rPr>
          <w:t>product information</w:t>
        </w:r>
      </w:hyperlink>
      <w:r w:rsidRPr="00326B56">
        <w:rPr>
          <w:rFonts w:ascii="Verdana" w:eastAsia="Times New Roman" w:hAnsi="Verdana" w:cs="Times New Roman"/>
          <w:color w:val="000000"/>
        </w:rPr>
        <w:t>.</w:t>
      </w:r>
    </w:p>
    <w:p w14:paraId="49A6782D"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also reviewed the PSURs for </w:t>
      </w:r>
      <w:r w:rsidRPr="00326B56">
        <w:rPr>
          <w:rFonts w:ascii="Verdana" w:eastAsia="Times New Roman" w:hAnsi="Verdana" w:cs="Times New Roman"/>
          <w:b/>
          <w:bCs/>
          <w:color w:val="000000"/>
        </w:rPr>
        <w:t>Cytopoint</w:t>
      </w:r>
      <w:r w:rsidRPr="00326B56">
        <w:rPr>
          <w:rFonts w:ascii="Verdana" w:eastAsia="Times New Roman" w:hAnsi="Verdana" w:cs="Times New Roman"/>
          <w:color w:val="000000"/>
        </w:rPr>
        <w:t> and</w:t>
      </w:r>
      <w:r w:rsidRPr="00326B56">
        <w:rPr>
          <w:rFonts w:ascii="Verdana" w:eastAsia="Times New Roman" w:hAnsi="Verdana" w:cs="Times New Roman"/>
          <w:b/>
          <w:bCs/>
          <w:color w:val="000000"/>
        </w:rPr>
        <w:t> Vectormune ND </w:t>
      </w:r>
      <w:r w:rsidRPr="00326B56">
        <w:rPr>
          <w:rFonts w:ascii="Verdana" w:eastAsia="Times New Roman" w:hAnsi="Verdana" w:cs="Times New Roman"/>
          <w:color w:val="000000"/>
        </w:rPr>
        <w:t>and concluded that no further action or changes to their </w:t>
      </w:r>
      <w:hyperlink r:id="rId34"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326B56">
          <w:rPr>
            <w:rFonts w:ascii="Verdana" w:eastAsia="Times New Roman" w:hAnsi="Verdana" w:cs="Times New Roman"/>
            <w:color w:val="000000"/>
            <w:u w:val="single"/>
          </w:rPr>
          <w:t>product information</w:t>
        </w:r>
      </w:hyperlink>
      <w:r w:rsidRPr="00326B56">
        <w:rPr>
          <w:rFonts w:ascii="Verdana" w:eastAsia="Times New Roman" w:hAnsi="Verdana" w:cs="Times New Roman"/>
          <w:color w:val="000000"/>
        </w:rPr>
        <w:t> were required.</w:t>
      </w:r>
    </w:p>
    <w:p w14:paraId="125D20AE" w14:textId="77777777" w:rsidR="00326B56" w:rsidRPr="00326B56" w:rsidRDefault="00326B56" w:rsidP="00326B56">
      <w:pPr>
        <w:spacing w:before="100" w:beforeAutospacing="1" w:after="100" w:afterAutospacing="1"/>
        <w:outlineLvl w:val="3"/>
        <w:rPr>
          <w:rFonts w:ascii="Verdana" w:eastAsia="Times New Roman" w:hAnsi="Verdana" w:cs="Times New Roman"/>
          <w:b/>
          <w:bCs/>
          <w:color w:val="404040"/>
        </w:rPr>
      </w:pPr>
      <w:r w:rsidRPr="00326B56">
        <w:rPr>
          <w:rFonts w:ascii="Verdana" w:eastAsia="Times New Roman" w:hAnsi="Verdana" w:cs="Times New Roman"/>
          <w:b/>
          <w:bCs/>
          <w:color w:val="404040"/>
        </w:rPr>
        <w:t>Organisational matters</w:t>
      </w:r>
    </w:p>
    <w:p w14:paraId="19BB6DE2"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adopted revised procedural advice on appointment and responsibilities of the </w:t>
      </w:r>
      <w:hyperlink r:id="rId35"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326B56">
          <w:rPr>
            <w:rFonts w:ascii="Verdana" w:eastAsia="Times New Roman" w:hAnsi="Verdana" w:cs="Times New Roman"/>
            <w:color w:val="000000"/>
            <w:u w:val="single"/>
          </w:rPr>
          <w:t>CVMP</w:t>
        </w:r>
      </w:hyperlink>
      <w:r w:rsidRPr="00326B56">
        <w:rPr>
          <w:rFonts w:ascii="Verdana" w:eastAsia="Times New Roman" w:hAnsi="Verdana" w:cs="Times New Roman"/>
          <w:color w:val="000000"/>
        </w:rPr>
        <w:t> </w:t>
      </w:r>
      <w:hyperlink r:id="rId36" w:tgtFrame="_blank" w:tooltip="One of the two members of a committee or working party who leads the evaluation of an application." w:history="1">
        <w:r w:rsidRPr="00326B56">
          <w:rPr>
            <w:rFonts w:ascii="Verdana" w:eastAsia="Times New Roman" w:hAnsi="Verdana" w:cs="Times New Roman"/>
            <w:color w:val="000000"/>
            <w:u w:val="single"/>
          </w:rPr>
          <w:t>rapporteur</w:t>
        </w:r>
      </w:hyperlink>
      <w:r w:rsidRPr="00326B56">
        <w:rPr>
          <w:rFonts w:ascii="Verdana" w:eastAsia="Times New Roman" w:hAnsi="Verdana" w:cs="Times New Roman"/>
          <w:color w:val="000000"/>
        </w:rPr>
        <w:t>and </w:t>
      </w:r>
      <w:hyperlink r:id="rId37" w:tgtFrame="_blank" w:tooltip="One of the two members of a committee or working party leading the assessment of an application." w:history="1">
        <w:r w:rsidRPr="00326B56">
          <w:rPr>
            <w:rFonts w:ascii="Verdana" w:eastAsia="Times New Roman" w:hAnsi="Verdana" w:cs="Times New Roman"/>
            <w:color w:val="000000"/>
            <w:u w:val="single"/>
          </w:rPr>
          <w:t>co-rapporteur</w:t>
        </w:r>
      </w:hyperlink>
      <w:r w:rsidRPr="00326B56">
        <w:rPr>
          <w:rFonts w:ascii="Verdana" w:eastAsia="Times New Roman" w:hAnsi="Verdana" w:cs="Times New Roman"/>
          <w:color w:val="000000"/>
        </w:rPr>
        <w:t> in accordance with Article 62 (1) of Regulation (EC) No 726/2004 (EMA/</w:t>
      </w:r>
      <w:hyperlink r:id="rId38"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326B56">
          <w:rPr>
            <w:rFonts w:ascii="Verdana" w:eastAsia="Times New Roman" w:hAnsi="Verdana" w:cs="Times New Roman"/>
            <w:color w:val="000000"/>
            <w:u w:val="single"/>
          </w:rPr>
          <w:t>CVMP</w:t>
        </w:r>
      </w:hyperlink>
      <w:r w:rsidRPr="00326B56">
        <w:rPr>
          <w:rFonts w:ascii="Verdana" w:eastAsia="Times New Roman" w:hAnsi="Verdana" w:cs="Times New Roman"/>
          <w:color w:val="000000"/>
        </w:rPr>
        <w:t>/468877/2009 - Rev.2).</w:t>
      </w:r>
    </w:p>
    <w:p w14:paraId="46733332" w14:textId="77777777" w:rsidR="00326B56" w:rsidRPr="00326B56" w:rsidRDefault="00326B56" w:rsidP="00326B56">
      <w:p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The Committee finalised the preparation of the Presidency </w:t>
      </w:r>
      <w:hyperlink r:id="rId39"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326B56">
          <w:rPr>
            <w:rFonts w:ascii="Verdana" w:eastAsia="Times New Roman" w:hAnsi="Verdana" w:cs="Times New Roman"/>
            <w:color w:val="000000"/>
            <w:u w:val="single"/>
          </w:rPr>
          <w:t>CVMP</w:t>
        </w:r>
      </w:hyperlink>
      <w:r w:rsidRPr="00326B56">
        <w:rPr>
          <w:rFonts w:ascii="Verdana" w:eastAsia="Times New Roman" w:hAnsi="Verdana" w:cs="Times New Roman"/>
          <w:color w:val="000000"/>
        </w:rPr>
        <w:t> and joint </w:t>
      </w:r>
      <w:hyperlink r:id="rId40"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326B56">
          <w:rPr>
            <w:rFonts w:ascii="Verdana" w:eastAsia="Times New Roman" w:hAnsi="Verdana" w:cs="Times New Roman"/>
            <w:color w:val="000000"/>
            <w:u w:val="single"/>
          </w:rPr>
          <w:t>CVMP</w:t>
        </w:r>
      </w:hyperlink>
      <w:r w:rsidRPr="00326B56">
        <w:rPr>
          <w:rFonts w:ascii="Verdana" w:eastAsia="Times New Roman" w:hAnsi="Verdana" w:cs="Times New Roman"/>
          <w:color w:val="000000"/>
        </w:rPr>
        <w:t>/</w:t>
      </w:r>
      <w:hyperlink r:id="rId41" w:tgtFrame="_blank" w:tooltip="Coordination Group for Mutual Recognition and Decentralised Procedures - Veterinary -  the group responsible for the examination and coordination of questions relating to the marketing authorisation of veterinary medicines in two or more Member States in accordance with the mutual recognition or decentralised procedure. &#13; &#13; More information can be found under 'Coordination Group for Mutual Recognition and Decentralised Procedures - Veterinary (CMDv)'." w:history="1">
        <w:r w:rsidRPr="00326B56">
          <w:rPr>
            <w:rFonts w:ascii="Verdana" w:eastAsia="Times New Roman" w:hAnsi="Verdana" w:cs="Times New Roman"/>
            <w:color w:val="000000"/>
            <w:u w:val="single"/>
          </w:rPr>
          <w:t>CMDv</w:t>
        </w:r>
      </w:hyperlink>
      <w:r w:rsidRPr="00326B56">
        <w:rPr>
          <w:rFonts w:ascii="Verdana" w:eastAsia="Times New Roman" w:hAnsi="Verdana" w:cs="Times New Roman"/>
          <w:color w:val="000000"/>
        </w:rPr>
        <w:t xml:space="preserve"> meetings to be held under the Finnish Presidency of the EU, on 25-27 September 2019. The meeting will be conducted under the </w:t>
      </w:r>
      <w:r w:rsidRPr="00326B56">
        <w:rPr>
          <w:rFonts w:ascii="Verdana" w:eastAsia="Times New Roman" w:hAnsi="Verdana" w:cs="Times New Roman"/>
          <w:color w:val="000000"/>
        </w:rPr>
        <w:lastRenderedPageBreak/>
        <w:t>theme ‘Responding to challenges for the veterinary medicines network 2019-2020: New veterinary legislation’ and the discussions will focus on:</w:t>
      </w:r>
    </w:p>
    <w:p w14:paraId="4C7FD291" w14:textId="77777777" w:rsidR="00326B56" w:rsidRPr="00326B56" w:rsidRDefault="00326B56" w:rsidP="00326B56">
      <w:pPr>
        <w:numPr>
          <w:ilvl w:val="0"/>
          <w:numId w:val="4"/>
        </w:numPr>
        <w:spacing w:before="100" w:beforeAutospacing="1" w:after="100" w:afterAutospacing="1"/>
        <w:rPr>
          <w:rFonts w:ascii="Verdana" w:eastAsia="Times New Roman" w:hAnsi="Verdana" w:cs="Times New Roman"/>
          <w:color w:val="000000"/>
        </w:rPr>
      </w:pPr>
      <w:r w:rsidRPr="00326B56">
        <w:rPr>
          <w:rFonts w:ascii="Verdana" w:eastAsia="Times New Roman" w:hAnsi="Verdana" w:cs="Times New Roman"/>
          <w:color w:val="000000"/>
        </w:rPr>
        <w:t>Promoting product availability with emphasis on the provisions concerning limited markets.</w:t>
      </w:r>
    </w:p>
    <w:p w14:paraId="5EBDD080" w14:textId="77777777" w:rsidR="00326B56" w:rsidRPr="00326B56" w:rsidRDefault="00326B56" w:rsidP="00326B56">
      <w:pPr>
        <w:numPr>
          <w:ilvl w:val="0"/>
          <w:numId w:val="4"/>
        </w:numPr>
        <w:spacing w:beforeAutospacing="1" w:afterAutospacing="1"/>
        <w:rPr>
          <w:rFonts w:ascii="Verdana" w:eastAsia="Times New Roman" w:hAnsi="Verdana" w:cs="Times New Roman"/>
          <w:color w:val="000000"/>
        </w:rPr>
      </w:pPr>
      <w:r w:rsidRPr="00326B56">
        <w:rPr>
          <w:rFonts w:ascii="Verdana" w:eastAsia="Times New Roman" w:hAnsi="Verdana" w:cs="Times New Roman"/>
          <w:color w:val="000000"/>
        </w:rPr>
        <w:t>Implementation of the Regulation 2019/6 with emphasis on the new role for the </w:t>
      </w:r>
      <w:hyperlink r:id="rId42" w:tgtFrame="_blank" w:tooltip="Science and activities relating to the detection, assessment, understanding and prevention of adverse effects or any other medicine-related problem. &#13; &#13; More information can be found under 'Pharmacovigilance -  Overview'." w:history="1">
        <w:r w:rsidRPr="00326B56">
          <w:rPr>
            <w:rFonts w:ascii="Verdana" w:eastAsia="Times New Roman" w:hAnsi="Verdana" w:cs="Times New Roman"/>
            <w:color w:val="000000"/>
            <w:u w:val="single"/>
          </w:rPr>
          <w:t>Pharmacovigilance</w:t>
        </w:r>
      </w:hyperlink>
      <w:hyperlink r:id="rId43" w:tgtFrame="_blank" w:tooltip="A group of European experts that can be consulted by the European Medicines Agency's committees on scientific issues in their area of expertise. Working parties are often given tasks linked to the evaluation of applications and the drafting or revision of guidance. &#13; &#13; More information can be found under 'Working parties and other groups'." w:history="1">
        <w:r w:rsidRPr="00326B56">
          <w:rPr>
            <w:rFonts w:ascii="Verdana" w:eastAsia="Times New Roman" w:hAnsi="Verdana" w:cs="Times New Roman"/>
            <w:color w:val="000000"/>
            <w:u w:val="single"/>
          </w:rPr>
          <w:t>Working Party</w:t>
        </w:r>
      </w:hyperlink>
      <w:r w:rsidRPr="00326B56">
        <w:rPr>
          <w:rFonts w:ascii="Verdana" w:eastAsia="Times New Roman" w:hAnsi="Verdana" w:cs="Times New Roman"/>
          <w:color w:val="000000"/>
        </w:rPr>
        <w:t> and the responsibilities of </w:t>
      </w:r>
      <w:hyperlink r:id="rId44"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326B56">
          <w:rPr>
            <w:rFonts w:ascii="Verdana" w:eastAsia="Times New Roman" w:hAnsi="Verdana" w:cs="Times New Roman"/>
            <w:color w:val="000000"/>
            <w:u w:val="single"/>
          </w:rPr>
          <w:t>CVMP</w:t>
        </w:r>
      </w:hyperlink>
      <w:r w:rsidRPr="00326B56">
        <w:rPr>
          <w:rFonts w:ascii="Verdana" w:eastAsia="Times New Roman" w:hAnsi="Verdana" w:cs="Times New Roman"/>
          <w:color w:val="000000"/>
        </w:rPr>
        <w:t> and </w:t>
      </w:r>
      <w:hyperlink r:id="rId45" w:tgtFrame="_blank" w:tooltip="Coordination Group for Mutual Recognition and Decentralised Procedures - Veterinary -  the group responsible for the examination and coordination of questions relating to the marketing authorisation of veterinary medicines in two or more Member States in accordance with the mutual recognition or decentralised procedure. &#13; &#13; More information can be found under 'Coordination Group for Mutual Recognition and Decentralised Procedures - Veterinary (CMDv)'." w:history="1">
        <w:r w:rsidRPr="00326B56">
          <w:rPr>
            <w:rFonts w:ascii="Verdana" w:eastAsia="Times New Roman" w:hAnsi="Verdana" w:cs="Times New Roman"/>
            <w:color w:val="000000"/>
            <w:u w:val="single"/>
          </w:rPr>
          <w:t>CMDv</w:t>
        </w:r>
      </w:hyperlink>
      <w:r w:rsidRPr="00326B56">
        <w:rPr>
          <w:rFonts w:ascii="Verdana" w:eastAsia="Times New Roman" w:hAnsi="Verdana" w:cs="Times New Roman"/>
          <w:color w:val="000000"/>
        </w:rPr>
        <w:t> including communication on issues of common interest.</w:t>
      </w:r>
    </w:p>
    <w:p w14:paraId="7F73EB60"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2D07"/>
    <w:multiLevelType w:val="multilevel"/>
    <w:tmpl w:val="63D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23A5"/>
    <w:multiLevelType w:val="multilevel"/>
    <w:tmpl w:val="5EE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30FA7"/>
    <w:multiLevelType w:val="multilevel"/>
    <w:tmpl w:val="3398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605A6"/>
    <w:multiLevelType w:val="multilevel"/>
    <w:tmpl w:val="BD2A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6D"/>
    <w:rsid w:val="00326B56"/>
    <w:rsid w:val="00453EED"/>
    <w:rsid w:val="008B596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13A53"/>
  <w14:defaultImageDpi w14:val="32767"/>
  <w15:chartTrackingRefBased/>
  <w15:docId w15:val="{944F4EEB-E060-4B41-A4FE-D58A37BD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26B5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26B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B5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26B56"/>
    <w:rPr>
      <w:rFonts w:ascii="Times New Roman" w:eastAsia="Times New Roman" w:hAnsi="Times New Roman" w:cs="Times New Roman"/>
      <w:b/>
      <w:bCs/>
    </w:rPr>
  </w:style>
  <w:style w:type="character" w:customStyle="1" w:styleId="apple-converted-space">
    <w:name w:val="apple-converted-space"/>
    <w:basedOn w:val="DefaultParagraphFont"/>
    <w:rsid w:val="00326B56"/>
  </w:style>
  <w:style w:type="character" w:customStyle="1" w:styleId="date-display-single">
    <w:name w:val="date-display-single"/>
    <w:basedOn w:val="DefaultParagraphFont"/>
    <w:rsid w:val="00326B56"/>
  </w:style>
  <w:style w:type="paragraph" w:styleId="NormalWeb">
    <w:name w:val="Normal (Web)"/>
    <w:basedOn w:val="Normal"/>
    <w:uiPriority w:val="99"/>
    <w:semiHidden/>
    <w:unhideWhenUsed/>
    <w:rsid w:val="00326B5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6B56"/>
    <w:rPr>
      <w:b/>
      <w:bCs/>
    </w:rPr>
  </w:style>
  <w:style w:type="character" w:styleId="Hyperlink">
    <w:name w:val="Hyperlink"/>
    <w:basedOn w:val="DefaultParagraphFont"/>
    <w:uiPriority w:val="99"/>
    <w:semiHidden/>
    <w:unhideWhenUsed/>
    <w:rsid w:val="00326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01077">
      <w:bodyDiv w:val="1"/>
      <w:marLeft w:val="0"/>
      <w:marRight w:val="0"/>
      <w:marTop w:val="0"/>
      <w:marBottom w:val="0"/>
      <w:divBdr>
        <w:top w:val="none" w:sz="0" w:space="0" w:color="auto"/>
        <w:left w:val="none" w:sz="0" w:space="0" w:color="auto"/>
        <w:bottom w:val="none" w:sz="0" w:space="0" w:color="auto"/>
        <w:right w:val="none" w:sz="0" w:space="0" w:color="auto"/>
      </w:divBdr>
      <w:divsChild>
        <w:div w:id="1336958837">
          <w:marLeft w:val="0"/>
          <w:marRight w:val="0"/>
          <w:marTop w:val="0"/>
          <w:marBottom w:val="0"/>
          <w:divBdr>
            <w:top w:val="none" w:sz="0" w:space="0" w:color="auto"/>
            <w:left w:val="none" w:sz="0" w:space="0" w:color="auto"/>
            <w:bottom w:val="none" w:sz="0" w:space="0" w:color="auto"/>
            <w:right w:val="none" w:sz="0" w:space="0" w:color="auto"/>
          </w:divBdr>
          <w:divsChild>
            <w:div w:id="87430334">
              <w:marLeft w:val="0"/>
              <w:marRight w:val="0"/>
              <w:marTop w:val="0"/>
              <w:marBottom w:val="0"/>
              <w:divBdr>
                <w:top w:val="none" w:sz="0" w:space="0" w:color="auto"/>
                <w:left w:val="none" w:sz="0" w:space="0" w:color="auto"/>
                <w:bottom w:val="none" w:sz="0" w:space="0" w:color="auto"/>
                <w:right w:val="none" w:sz="0" w:space="0" w:color="auto"/>
              </w:divBdr>
            </w:div>
          </w:divsChild>
        </w:div>
        <w:div w:id="549734901">
          <w:marLeft w:val="0"/>
          <w:marRight w:val="0"/>
          <w:marTop w:val="0"/>
          <w:marBottom w:val="0"/>
          <w:divBdr>
            <w:top w:val="none" w:sz="0" w:space="0" w:color="auto"/>
            <w:left w:val="none" w:sz="0" w:space="0" w:color="auto"/>
            <w:bottom w:val="none" w:sz="0" w:space="0" w:color="auto"/>
            <w:right w:val="none" w:sz="0" w:space="0" w:color="auto"/>
          </w:divBdr>
        </w:div>
        <w:div w:id="1870485829">
          <w:marLeft w:val="0"/>
          <w:marRight w:val="0"/>
          <w:marTop w:val="0"/>
          <w:marBottom w:val="0"/>
          <w:divBdr>
            <w:top w:val="none" w:sz="0" w:space="0" w:color="auto"/>
            <w:left w:val="none" w:sz="0" w:space="0" w:color="auto"/>
            <w:bottom w:val="none" w:sz="0" w:space="0" w:color="auto"/>
            <w:right w:val="none" w:sz="0" w:space="0" w:color="auto"/>
          </w:divBdr>
          <w:divsChild>
            <w:div w:id="611667689">
              <w:marLeft w:val="0"/>
              <w:marRight w:val="0"/>
              <w:marTop w:val="0"/>
              <w:marBottom w:val="0"/>
              <w:divBdr>
                <w:top w:val="none" w:sz="0" w:space="0" w:color="auto"/>
                <w:left w:val="none" w:sz="0" w:space="0" w:color="auto"/>
                <w:bottom w:val="none" w:sz="0" w:space="0" w:color="auto"/>
                <w:right w:val="none" w:sz="0" w:space="0" w:color="auto"/>
              </w:divBdr>
              <w:divsChild>
                <w:div w:id="628437567">
                  <w:marLeft w:val="0"/>
                  <w:marRight w:val="0"/>
                  <w:marTop w:val="0"/>
                  <w:marBottom w:val="0"/>
                  <w:divBdr>
                    <w:top w:val="none" w:sz="0" w:space="0" w:color="auto"/>
                    <w:left w:val="none" w:sz="0" w:space="0" w:color="auto"/>
                    <w:bottom w:val="none" w:sz="0" w:space="0" w:color="auto"/>
                    <w:right w:val="none" w:sz="0" w:space="0" w:color="auto"/>
                  </w:divBdr>
                  <w:divsChild>
                    <w:div w:id="1321272505">
                      <w:marLeft w:val="0"/>
                      <w:marRight w:val="0"/>
                      <w:marTop w:val="0"/>
                      <w:marBottom w:val="0"/>
                      <w:divBdr>
                        <w:top w:val="none" w:sz="0" w:space="0" w:color="auto"/>
                        <w:left w:val="none" w:sz="0" w:space="0" w:color="auto"/>
                        <w:bottom w:val="none" w:sz="0" w:space="0" w:color="auto"/>
                        <w:right w:val="none" w:sz="0" w:space="0" w:color="auto"/>
                      </w:divBdr>
                      <w:divsChild>
                        <w:div w:id="136263062">
                          <w:marLeft w:val="0"/>
                          <w:marRight w:val="0"/>
                          <w:marTop w:val="0"/>
                          <w:marBottom w:val="0"/>
                          <w:divBdr>
                            <w:top w:val="none" w:sz="0" w:space="0" w:color="auto"/>
                            <w:left w:val="none" w:sz="0" w:space="0" w:color="auto"/>
                            <w:bottom w:val="none" w:sz="0" w:space="0" w:color="auto"/>
                            <w:right w:val="none" w:sz="0" w:space="0" w:color="auto"/>
                          </w:divBdr>
                          <w:divsChild>
                            <w:div w:id="237403485">
                              <w:marLeft w:val="0"/>
                              <w:marRight w:val="0"/>
                              <w:marTop w:val="0"/>
                              <w:marBottom w:val="0"/>
                              <w:divBdr>
                                <w:top w:val="none" w:sz="0" w:space="0" w:color="auto"/>
                                <w:left w:val="none" w:sz="0" w:space="0" w:color="auto"/>
                                <w:bottom w:val="none" w:sz="0" w:space="0" w:color="auto"/>
                                <w:right w:val="none" w:sz="0" w:space="0" w:color="auto"/>
                              </w:divBdr>
                              <w:divsChild>
                                <w:div w:id="1371371592">
                                  <w:marLeft w:val="0"/>
                                  <w:marRight w:val="0"/>
                                  <w:marTop w:val="0"/>
                                  <w:marBottom w:val="0"/>
                                  <w:divBdr>
                                    <w:top w:val="none" w:sz="0" w:space="0" w:color="auto"/>
                                    <w:left w:val="none" w:sz="0" w:space="0" w:color="auto"/>
                                    <w:bottom w:val="none" w:sz="0" w:space="0" w:color="auto"/>
                                    <w:right w:val="none" w:sz="0" w:space="0" w:color="auto"/>
                                  </w:divBdr>
                                  <w:divsChild>
                                    <w:div w:id="12271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a.europa.eu/en/glossary/marketing-authorisation" TargetMode="External"/><Relationship Id="rId18" Type="http://schemas.openxmlformats.org/officeDocument/2006/relationships/hyperlink" Target="https://www.ema.europa.eu/en/glossary/renewal" TargetMode="External"/><Relationship Id="rId26" Type="http://schemas.openxmlformats.org/officeDocument/2006/relationships/hyperlink" Target="https://www.ema.europa.eu/en/glossary/medicinal-product" TargetMode="External"/><Relationship Id="rId39" Type="http://schemas.openxmlformats.org/officeDocument/2006/relationships/hyperlink" Target="https://www.ema.europa.eu/en/glossary/cvmp" TargetMode="External"/><Relationship Id="rId21" Type="http://schemas.openxmlformats.org/officeDocument/2006/relationships/hyperlink" Target="https://www.ema.europa.eu/en/glossary/referral" TargetMode="External"/><Relationship Id="rId34" Type="http://schemas.openxmlformats.org/officeDocument/2006/relationships/hyperlink" Target="https://www.ema.europa.eu/en/glossary/product-information" TargetMode="External"/><Relationship Id="rId42" Type="http://schemas.openxmlformats.org/officeDocument/2006/relationships/hyperlink" Target="https://www.ema.europa.eu/en/glossary/pharmacovigilance" TargetMode="External"/><Relationship Id="rId47" Type="http://schemas.openxmlformats.org/officeDocument/2006/relationships/theme" Target="theme/theme1.xml"/><Relationship Id="rId7" Type="http://schemas.openxmlformats.org/officeDocument/2006/relationships/hyperlink" Target="https://www.ema.europa.eu/en/glossary/marketing-authorisation-application" TargetMode="External"/><Relationship Id="rId2" Type="http://schemas.openxmlformats.org/officeDocument/2006/relationships/styles" Target="styles.xml"/><Relationship Id="rId16" Type="http://schemas.openxmlformats.org/officeDocument/2006/relationships/hyperlink" Target="https://www.ema.europa.eu/en/glossary/marketing-authorisation" TargetMode="External"/><Relationship Id="rId29" Type="http://schemas.openxmlformats.org/officeDocument/2006/relationships/hyperlink" Target="https://www.ema.europa.eu/en/glossary/cvmp" TargetMode="External"/><Relationship Id="rId1" Type="http://schemas.openxmlformats.org/officeDocument/2006/relationships/numbering" Target="numbering.xml"/><Relationship Id="rId6" Type="http://schemas.openxmlformats.org/officeDocument/2006/relationships/hyperlink" Target="https://www.ema.europa.eu/en/glossary/medicinal-product" TargetMode="External"/><Relationship Id="rId11" Type="http://schemas.openxmlformats.org/officeDocument/2006/relationships/hyperlink" Target="https://www.ema.europa.eu/en/glossary/pharmacovigilance" TargetMode="External"/><Relationship Id="rId24" Type="http://schemas.openxmlformats.org/officeDocument/2006/relationships/hyperlink" Target="https://www.ema.europa.eu/en/glossary/scientific-advice" TargetMode="External"/><Relationship Id="rId32" Type="http://schemas.openxmlformats.org/officeDocument/2006/relationships/hyperlink" Target="https://www.ema.europa.eu/en/glossary/cvmp" TargetMode="External"/><Relationship Id="rId37" Type="http://schemas.openxmlformats.org/officeDocument/2006/relationships/hyperlink" Target="https://www.ema.europa.eu/en/glossary/co-rapporteur" TargetMode="External"/><Relationship Id="rId40" Type="http://schemas.openxmlformats.org/officeDocument/2006/relationships/hyperlink" Target="https://www.ema.europa.eu/en/glossary/cvmp" TargetMode="External"/><Relationship Id="rId45" Type="http://schemas.openxmlformats.org/officeDocument/2006/relationships/hyperlink" Target="https://www.ema.europa.eu/en/glossary/cmdv" TargetMode="External"/><Relationship Id="rId5" Type="http://schemas.openxmlformats.org/officeDocument/2006/relationships/hyperlink" Target="https://www.ema.europa.eu/en/glossary/cvmp" TargetMode="External"/><Relationship Id="rId15" Type="http://schemas.openxmlformats.org/officeDocument/2006/relationships/hyperlink" Target="https://www.ema.europa.eu/en/glossary/renewal" TargetMode="External"/><Relationship Id="rId23" Type="http://schemas.openxmlformats.org/officeDocument/2006/relationships/hyperlink" Target="https://www.ema.europa.eu/en/glossary/medicinal-product" TargetMode="External"/><Relationship Id="rId28" Type="http://schemas.openxmlformats.org/officeDocument/2006/relationships/hyperlink" Target="https://www.ema.europa.eu/en/glossary/indication" TargetMode="External"/><Relationship Id="rId36" Type="http://schemas.openxmlformats.org/officeDocument/2006/relationships/hyperlink" Target="https://www.ema.europa.eu/en/glossary/rapporteur" TargetMode="External"/><Relationship Id="rId10" Type="http://schemas.openxmlformats.org/officeDocument/2006/relationships/hyperlink" Target="https://www.ema.europa.eu/en/glossary/indication" TargetMode="External"/><Relationship Id="rId19" Type="http://schemas.openxmlformats.org/officeDocument/2006/relationships/hyperlink" Target="https://www.ema.europa.eu/en/glossary/marketing-authorisation" TargetMode="External"/><Relationship Id="rId31" Type="http://schemas.openxmlformats.org/officeDocument/2006/relationships/hyperlink" Target="https://www.ema.europa.eu/en/glossary/medicinal-product" TargetMode="External"/><Relationship Id="rId44" Type="http://schemas.openxmlformats.org/officeDocument/2006/relationships/hyperlink" Target="https://www.ema.europa.eu/en/glossary/cvmp" TargetMode="External"/><Relationship Id="rId4" Type="http://schemas.openxmlformats.org/officeDocument/2006/relationships/webSettings" Target="webSettings.xml"/><Relationship Id="rId9" Type="http://schemas.openxmlformats.org/officeDocument/2006/relationships/hyperlink" Target="https://www.ema.europa.eu/en/glossary/type-ii-variation" TargetMode="External"/><Relationship Id="rId14" Type="http://schemas.openxmlformats.org/officeDocument/2006/relationships/hyperlink" Target="https://www.ema.europa.eu/en/glossary/indication" TargetMode="External"/><Relationship Id="rId22" Type="http://schemas.openxmlformats.org/officeDocument/2006/relationships/hyperlink" Target="https://www.ema.europa.eu/en/glossary/withdrawal-period" TargetMode="External"/><Relationship Id="rId27" Type="http://schemas.openxmlformats.org/officeDocument/2006/relationships/hyperlink" Target="https://www.ema.europa.eu/en/glossary/medicinal-product" TargetMode="External"/><Relationship Id="rId30" Type="http://schemas.openxmlformats.org/officeDocument/2006/relationships/hyperlink" Target="https://www.ema.europa.eu/en/glossary/indication" TargetMode="External"/><Relationship Id="rId35" Type="http://schemas.openxmlformats.org/officeDocument/2006/relationships/hyperlink" Target="https://www.ema.europa.eu/en/glossary/cvmp" TargetMode="External"/><Relationship Id="rId43" Type="http://schemas.openxmlformats.org/officeDocument/2006/relationships/hyperlink" Target="https://www.ema.europa.eu/en/glossary/working-party" TargetMode="External"/><Relationship Id="rId8" Type="http://schemas.openxmlformats.org/officeDocument/2006/relationships/hyperlink" Target="https://www.ema.europa.eu/en/glossary/marketing-authorisation-application" TargetMode="External"/><Relationship Id="rId3" Type="http://schemas.openxmlformats.org/officeDocument/2006/relationships/settings" Target="settings.xml"/><Relationship Id="rId12" Type="http://schemas.openxmlformats.org/officeDocument/2006/relationships/hyperlink" Target="https://www.ema.europa.eu/en/glossary/type-ii-variation" TargetMode="External"/><Relationship Id="rId17" Type="http://schemas.openxmlformats.org/officeDocument/2006/relationships/hyperlink" Target="https://www.ema.europa.eu/en/glossary/efficacy" TargetMode="External"/><Relationship Id="rId25" Type="http://schemas.openxmlformats.org/officeDocument/2006/relationships/hyperlink" Target="https://www.ema.europa.eu/en/glossary/efficacy" TargetMode="External"/><Relationship Id="rId33" Type="http://schemas.openxmlformats.org/officeDocument/2006/relationships/hyperlink" Target="https://www.ema.europa.eu/en/glossary/product-information" TargetMode="External"/><Relationship Id="rId38" Type="http://schemas.openxmlformats.org/officeDocument/2006/relationships/hyperlink" Target="https://www.ema.europa.eu/en/glossary/cvmp" TargetMode="External"/><Relationship Id="rId46" Type="http://schemas.openxmlformats.org/officeDocument/2006/relationships/fontTable" Target="fontTable.xml"/><Relationship Id="rId20" Type="http://schemas.openxmlformats.org/officeDocument/2006/relationships/hyperlink" Target="https://www.ema.europa.eu/en/glossary/product-information" TargetMode="External"/><Relationship Id="rId41" Type="http://schemas.openxmlformats.org/officeDocument/2006/relationships/hyperlink" Target="https://www.ema.europa.eu/en/glossary/cm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2884</Words>
  <Characters>16443</Characters>
  <Application>Microsoft Office Word</Application>
  <DocSecurity>0</DocSecurity>
  <Lines>137</Lines>
  <Paragraphs>38</Paragraphs>
  <ScaleCrop>false</ScaleCrop>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2020-02-18T10:48:00Z</dcterms:created>
  <dcterms:modified xsi:type="dcterms:W3CDTF">2020-02-18T10:57:00Z</dcterms:modified>
</cp:coreProperties>
</file>