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3FC" w:rsidRPr="00C013FC" w:rsidRDefault="00C013FC" w:rsidP="00C013FC">
      <w:pPr>
        <w:outlineLvl w:val="0"/>
        <w:rPr>
          <w:rFonts w:ascii="Verdana" w:eastAsia="Times New Roman" w:hAnsi="Verdana" w:cs="Times New Roman"/>
          <w:color w:val="000000"/>
          <w:kern w:val="36"/>
          <w:sz w:val="48"/>
          <w:szCs w:val="48"/>
        </w:rPr>
      </w:pPr>
      <w:r w:rsidRPr="00C013FC">
        <w:rPr>
          <w:rFonts w:ascii="Verdana" w:eastAsia="Times New Roman" w:hAnsi="Verdana" w:cs="Times New Roman"/>
          <w:color w:val="000000"/>
          <w:kern w:val="36"/>
          <w:sz w:val="48"/>
          <w:szCs w:val="48"/>
        </w:rPr>
        <w:t>Global public meeting on draft ICH guideline on clinical trials</w:t>
      </w:r>
    </w:p>
    <w:p w:rsidR="00C013FC" w:rsidRPr="00C013FC" w:rsidRDefault="00C013FC" w:rsidP="00C013FC">
      <w:pPr>
        <w:rPr>
          <w:rFonts w:ascii="Verdana" w:eastAsia="Times New Roman" w:hAnsi="Verdana" w:cs="Times New Roman"/>
          <w:color w:val="000000"/>
        </w:rPr>
      </w:pPr>
      <w:r w:rsidRPr="00C013FC">
        <w:rPr>
          <w:rFonts w:ascii="Verdana" w:eastAsia="Times New Roman" w:hAnsi="Verdana" w:cs="Times New Roman"/>
          <w:color w:val="000000"/>
        </w:rPr>
        <w:t>Share</w:t>
      </w:r>
    </w:p>
    <w:p w:rsidR="00C013FC" w:rsidRPr="00C013FC" w:rsidRDefault="00C013FC" w:rsidP="00C013FC">
      <w:pPr>
        <w:rPr>
          <w:rFonts w:ascii="Verdana" w:eastAsia="Times New Roman" w:hAnsi="Verdana" w:cs="Times New Roman"/>
          <w:color w:val="000000"/>
        </w:rPr>
      </w:pPr>
      <w:r w:rsidRPr="00C013FC">
        <w:rPr>
          <w:rFonts w:ascii="Verdana" w:eastAsia="Times New Roman" w:hAnsi="Verdana" w:cs="Times New Roman"/>
          <w:color w:val="000000"/>
        </w:rPr>
        <w:t>News 30/08/2019</w:t>
      </w:r>
    </w:p>
    <w:p w:rsidR="00C013FC" w:rsidRPr="00C013FC" w:rsidRDefault="00C013FC" w:rsidP="00C013FC">
      <w:pPr>
        <w:spacing w:before="100" w:beforeAutospacing="1" w:after="100" w:afterAutospacing="1"/>
        <w:rPr>
          <w:rFonts w:ascii="Verdana" w:eastAsia="Times New Roman" w:hAnsi="Verdana" w:cs="Times New Roman"/>
          <w:color w:val="000000"/>
        </w:rPr>
      </w:pPr>
    </w:p>
    <w:p w:rsidR="00C013FC" w:rsidRPr="00C013FC" w:rsidRDefault="00C013FC" w:rsidP="00C013FC">
      <w:pPr>
        <w:spacing w:beforeAutospacing="1" w:afterAutospacing="1"/>
        <w:rPr>
          <w:rFonts w:ascii="Verdana" w:eastAsia="Times New Roman" w:hAnsi="Verdana" w:cs="Times New Roman"/>
          <w:color w:val="000000"/>
        </w:rPr>
      </w:pPr>
      <w:r w:rsidRPr="00C013FC">
        <w:rPr>
          <w:rFonts w:ascii="Verdana" w:eastAsia="Times New Roman" w:hAnsi="Verdana" w:cs="Times New Roman"/>
          <w:color w:val="000000"/>
        </w:rPr>
        <w:t>The global guidance for the conduct of </w:t>
      </w:r>
      <w:hyperlink r:id="rId4" w:tgtFrame="_blank" w:tooltip="A study performed to investigate the safety or efficacy of a medicine. For human medicines, these studies are carried out in human volunteers." w:history="1">
        <w:r w:rsidRPr="00C013FC">
          <w:rPr>
            <w:rFonts w:ascii="Verdana" w:eastAsia="Times New Roman" w:hAnsi="Verdana" w:cs="Times New Roman"/>
            <w:color w:val="000000"/>
            <w:u w:val="single"/>
          </w:rPr>
          <w:t>clinical trials</w:t>
        </w:r>
      </w:hyperlink>
      <w:r w:rsidRPr="00C013FC">
        <w:rPr>
          <w:rFonts w:ascii="Verdana" w:eastAsia="Times New Roman" w:hAnsi="Verdana" w:cs="Times New Roman"/>
          <w:color w:val="000000"/>
        </w:rPr>
        <w:t xml:space="preserve"> is currently undergoing a major revision. </w:t>
      </w:r>
      <w:r w:rsidRPr="00A74CEA">
        <w:rPr>
          <w:rFonts w:ascii="Verdana" w:eastAsia="Times New Roman" w:hAnsi="Verdana" w:cs="Times New Roman"/>
          <w:color w:val="000000"/>
          <w:highlight w:val="yellow"/>
        </w:rPr>
        <w:t>As part of the worldwide consultation process, the </w:t>
      </w:r>
      <w:hyperlink r:id="rId5" w:tgtFrame="_blank" w:history="1">
        <w:r w:rsidRPr="00A74CEA">
          <w:rPr>
            <w:rFonts w:ascii="Verdana" w:eastAsia="Times New Roman" w:hAnsi="Verdana" w:cs="Times New Roman"/>
            <w:color w:val="75197C"/>
            <w:highlight w:val="yellow"/>
            <w:u w:val="single"/>
          </w:rPr>
          <w:t xml:space="preserve">International Council for </w:t>
        </w:r>
        <w:proofErr w:type="spellStart"/>
        <w:r w:rsidRPr="00A74CEA">
          <w:rPr>
            <w:rFonts w:ascii="Verdana" w:eastAsia="Times New Roman" w:hAnsi="Verdana" w:cs="Times New Roman"/>
            <w:color w:val="75197C"/>
            <w:highlight w:val="yellow"/>
            <w:u w:val="single"/>
          </w:rPr>
          <w:t>Harmonisation</w:t>
        </w:r>
        <w:proofErr w:type="spellEnd"/>
        <w:r w:rsidRPr="00A74CEA">
          <w:rPr>
            <w:rFonts w:ascii="Verdana" w:eastAsia="Times New Roman" w:hAnsi="Verdana" w:cs="Times New Roman"/>
            <w:color w:val="75197C"/>
            <w:highlight w:val="yellow"/>
            <w:u w:val="single"/>
          </w:rPr>
          <w:t xml:space="preserve"> of Technical Requirements for Pharmaceuticals for Human Use (ICH)</w:t>
        </w:r>
      </w:hyperlink>
      <w:r w:rsidRPr="00A74CEA">
        <w:rPr>
          <w:rFonts w:ascii="Verdana" w:eastAsia="Times New Roman" w:hAnsi="Verdana" w:cs="Times New Roman"/>
          <w:color w:val="000000"/>
          <w:highlight w:val="yellow"/>
        </w:rPr>
        <w:t xml:space="preserve"> is </w:t>
      </w:r>
      <w:proofErr w:type="spellStart"/>
      <w:r w:rsidRPr="00A74CEA">
        <w:rPr>
          <w:rFonts w:ascii="Verdana" w:eastAsia="Times New Roman" w:hAnsi="Verdana" w:cs="Times New Roman"/>
          <w:color w:val="000000"/>
          <w:highlight w:val="yellow"/>
        </w:rPr>
        <w:t>organising</w:t>
      </w:r>
      <w:proofErr w:type="spellEnd"/>
      <w:r w:rsidRPr="00A74CEA">
        <w:rPr>
          <w:rFonts w:ascii="Verdana" w:eastAsia="Times New Roman" w:hAnsi="Verdana" w:cs="Times New Roman"/>
          <w:color w:val="000000"/>
          <w:highlight w:val="yellow"/>
        </w:rPr>
        <w:t xml:space="preserve"> a </w:t>
      </w:r>
      <w:hyperlink r:id="rId6" w:tgtFrame="_blank" w:history="1">
        <w:r w:rsidRPr="00A74CEA">
          <w:rPr>
            <w:rFonts w:ascii="Verdana" w:eastAsia="Times New Roman" w:hAnsi="Verdana" w:cs="Times New Roman"/>
            <w:color w:val="75197C"/>
            <w:highlight w:val="yellow"/>
            <w:u w:val="single"/>
          </w:rPr>
          <w:t>public meeting to review its draft E8 (R1) Guideline ‘General Considerations for Clinical Trials’</w:t>
        </w:r>
      </w:hyperlink>
      <w:r w:rsidRPr="00A74CEA">
        <w:rPr>
          <w:rFonts w:ascii="Verdana" w:eastAsia="Times New Roman" w:hAnsi="Verdana" w:cs="Times New Roman"/>
          <w:color w:val="000000"/>
          <w:highlight w:val="yellow"/>
        </w:rPr>
        <w:t>. EMA is encouraging its stakeholders to register for this meeting, which will be held on 31 October 2019 at the United States </w:t>
      </w:r>
      <w:hyperlink r:id="rId7" w:tgtFrame="_blank" w:history="1">
        <w:r w:rsidRPr="00A74CEA">
          <w:rPr>
            <w:rFonts w:ascii="Verdana" w:eastAsia="Times New Roman" w:hAnsi="Verdana" w:cs="Times New Roman"/>
            <w:color w:val="75197C"/>
            <w:highlight w:val="yellow"/>
            <w:u w:val="single"/>
          </w:rPr>
          <w:t>Food and Drug Administration (FDA)</w:t>
        </w:r>
      </w:hyperlink>
      <w:r w:rsidRPr="00A74CEA">
        <w:rPr>
          <w:rFonts w:ascii="Verdana" w:eastAsia="Times New Roman" w:hAnsi="Verdana" w:cs="Times New Roman"/>
          <w:color w:val="000000"/>
          <w:highlight w:val="yellow"/>
        </w:rPr>
        <w:t> headquarters in Silver Spring, Maryland, United States of America. Participants will be able to attend in person or via webcast.</w:t>
      </w:r>
    </w:p>
    <w:p w:rsidR="00C013FC" w:rsidRPr="00C013FC" w:rsidRDefault="00C013FC" w:rsidP="00C013FC">
      <w:pPr>
        <w:spacing w:beforeAutospacing="1" w:afterAutospacing="1"/>
        <w:rPr>
          <w:rFonts w:ascii="Verdana" w:eastAsia="Times New Roman" w:hAnsi="Verdana" w:cs="Times New Roman"/>
          <w:color w:val="000000"/>
        </w:rPr>
      </w:pPr>
      <w:r w:rsidRPr="00A74CEA">
        <w:rPr>
          <w:rFonts w:ascii="Verdana" w:eastAsia="Times New Roman" w:hAnsi="Verdana" w:cs="Times New Roman"/>
          <w:color w:val="000000"/>
          <w:highlight w:val="lightGray"/>
        </w:rPr>
        <w:t>The </w:t>
      </w:r>
      <w:hyperlink r:id="rId8" w:tgtFrame="_self" w:history="1">
        <w:r w:rsidRPr="00A74CEA">
          <w:rPr>
            <w:rFonts w:ascii="Verdana" w:eastAsia="Times New Roman" w:hAnsi="Verdana" w:cs="Times New Roman"/>
            <w:color w:val="75197C"/>
            <w:highlight w:val="lightGray"/>
            <w:u w:val="single"/>
          </w:rPr>
          <w:t>ICH E8 guideline</w:t>
        </w:r>
      </w:hyperlink>
      <w:r w:rsidRPr="00A74CEA">
        <w:rPr>
          <w:rFonts w:ascii="Verdana" w:eastAsia="Times New Roman" w:hAnsi="Verdana" w:cs="Times New Roman"/>
          <w:color w:val="000000"/>
          <w:highlight w:val="lightGray"/>
        </w:rPr>
        <w:t> sets out general scientific principles for the conduct, performance and control of </w:t>
      </w:r>
      <w:hyperlink r:id="rId9" w:tgtFrame="_blank" w:tooltip="A study performed to investigate the safety or efficacy of a medicine. For human medicines, these studies are carried out in human volunteers." w:history="1">
        <w:r w:rsidRPr="00A74CEA">
          <w:rPr>
            <w:rFonts w:ascii="Verdana" w:eastAsia="Times New Roman" w:hAnsi="Verdana" w:cs="Times New Roman"/>
            <w:color w:val="000000"/>
            <w:highlight w:val="lightGray"/>
            <w:u w:val="single"/>
          </w:rPr>
          <w:t>clinical trials</w:t>
        </w:r>
      </w:hyperlink>
      <w:r w:rsidRPr="00A74CEA">
        <w:rPr>
          <w:rFonts w:ascii="Verdana" w:eastAsia="Times New Roman" w:hAnsi="Verdana" w:cs="Times New Roman"/>
          <w:color w:val="000000"/>
          <w:highlight w:val="lightGray"/>
        </w:rPr>
        <w:t>. In recent years, </w:t>
      </w:r>
      <w:hyperlink r:id="rId10" w:tgtFrame="_blank" w:tooltip="A study performed to investigate the safety or efficacy of a medicine. For human medicines, these studies are carried out in human volunteers." w:history="1">
        <w:r w:rsidRPr="00A74CEA">
          <w:rPr>
            <w:rFonts w:ascii="Verdana" w:eastAsia="Times New Roman" w:hAnsi="Verdana" w:cs="Times New Roman"/>
            <w:color w:val="000000"/>
            <w:highlight w:val="lightGray"/>
            <w:u w:val="single"/>
          </w:rPr>
          <w:t>clinical trials</w:t>
        </w:r>
      </w:hyperlink>
      <w:r w:rsidRPr="00A74CEA">
        <w:rPr>
          <w:rFonts w:ascii="Verdana" w:eastAsia="Times New Roman" w:hAnsi="Verdana" w:cs="Times New Roman"/>
          <w:color w:val="000000"/>
          <w:highlight w:val="lightGray"/>
        </w:rPr>
        <w:t> have undergone a radical transformation with a wider range of both trial designs and data sources being used in drug development. Therefore, </w:t>
      </w:r>
      <w:hyperlink r:id="rId11" w:tgtFrame="_blank" w:tooltip="The International Council for Harmonisation of Technical Requirements for Registration of Pharmaceuticals for Human Use (ICH) brings together regulatory authorities and the pharmaceutical industry. It makes recommendations towards achieving greater harmonisation in the interpretation and application of technical guidelines and requirements for pharmaceutical product registration." w:history="1">
        <w:r w:rsidRPr="00A74CEA">
          <w:rPr>
            <w:rFonts w:ascii="Verdana" w:eastAsia="Times New Roman" w:hAnsi="Verdana" w:cs="Times New Roman"/>
            <w:color w:val="000000"/>
            <w:highlight w:val="lightGray"/>
            <w:u w:val="single"/>
          </w:rPr>
          <w:t>ICH</w:t>
        </w:r>
      </w:hyperlink>
      <w:r w:rsidRPr="00A74CEA">
        <w:rPr>
          <w:rFonts w:ascii="Verdana" w:eastAsia="Times New Roman" w:hAnsi="Verdana" w:cs="Times New Roman"/>
          <w:color w:val="000000"/>
          <w:highlight w:val="lightGray"/>
        </w:rPr>
        <w:t> initiated a revision of the E8 </w:t>
      </w:r>
      <w:hyperlink r:id="rId12"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A74CEA">
          <w:rPr>
            <w:rFonts w:ascii="Verdana" w:eastAsia="Times New Roman" w:hAnsi="Verdana" w:cs="Times New Roman"/>
            <w:color w:val="000000"/>
            <w:highlight w:val="lightGray"/>
            <w:u w:val="single"/>
          </w:rPr>
          <w:t>guideline</w:t>
        </w:r>
      </w:hyperlink>
      <w:r w:rsidRPr="00A74CEA">
        <w:rPr>
          <w:rFonts w:ascii="Verdana" w:eastAsia="Times New Roman" w:hAnsi="Verdana" w:cs="Times New Roman"/>
          <w:color w:val="000000"/>
          <w:highlight w:val="lightGray"/>
        </w:rPr>
        <w:t> to address all the aspects that were not covered by the current version of the guidance.</w:t>
      </w:r>
      <w:r w:rsidRPr="00C013FC">
        <w:rPr>
          <w:rFonts w:ascii="Verdana" w:eastAsia="Times New Roman" w:hAnsi="Verdana" w:cs="Times New Roman"/>
          <w:color w:val="000000"/>
        </w:rPr>
        <w:t> </w:t>
      </w:r>
    </w:p>
    <w:p w:rsidR="00C013FC" w:rsidRPr="00C013FC" w:rsidRDefault="00C013FC" w:rsidP="00C013FC">
      <w:pPr>
        <w:spacing w:beforeAutospacing="1" w:afterAutospacing="1"/>
        <w:rPr>
          <w:rFonts w:ascii="Verdana" w:eastAsia="Times New Roman" w:hAnsi="Verdana" w:cs="Times New Roman"/>
          <w:color w:val="000000"/>
        </w:rPr>
      </w:pPr>
      <w:r w:rsidRPr="00A74CEA">
        <w:rPr>
          <w:rFonts w:ascii="Verdana" w:eastAsia="Times New Roman" w:hAnsi="Verdana" w:cs="Times New Roman"/>
          <w:color w:val="000000"/>
          <w:highlight w:val="lightGray"/>
        </w:rPr>
        <w:t>The revision aims to provide up-to-date and flexible guidance on </w:t>
      </w:r>
      <w:hyperlink r:id="rId13" w:tgtFrame="_blank" w:tooltip="A study performed to investigate the safety or efficacy of a medicine. For human medicines, these studies are carried out in human volunteers." w:history="1">
        <w:r w:rsidRPr="00A74CEA">
          <w:rPr>
            <w:rFonts w:ascii="Verdana" w:eastAsia="Times New Roman" w:hAnsi="Verdana" w:cs="Times New Roman"/>
            <w:color w:val="000000"/>
            <w:highlight w:val="lightGray"/>
            <w:u w:val="single"/>
          </w:rPr>
          <w:t>clinical trial</w:t>
        </w:r>
      </w:hyperlink>
      <w:r w:rsidRPr="00A74CEA">
        <w:rPr>
          <w:rFonts w:ascii="Verdana" w:eastAsia="Times New Roman" w:hAnsi="Verdana" w:cs="Times New Roman"/>
          <w:color w:val="000000"/>
          <w:highlight w:val="lightGray"/>
        </w:rPr>
        <w:t> designs and data sources that can support regulatory and other health-policy decisions while ensuring that fundamental principles, such as the protection of </w:t>
      </w:r>
      <w:hyperlink r:id="rId14" w:tgtFrame="_blank" w:tooltip="A study performed to investigate the safety or efficacy of a medicine. For human medicines, these studies are carried out in human volunteers." w:history="1">
        <w:r w:rsidRPr="00A74CEA">
          <w:rPr>
            <w:rFonts w:ascii="Verdana" w:eastAsia="Times New Roman" w:hAnsi="Verdana" w:cs="Times New Roman"/>
            <w:color w:val="000000"/>
            <w:highlight w:val="lightGray"/>
            <w:u w:val="single"/>
          </w:rPr>
          <w:t>clinical trial</w:t>
        </w:r>
      </w:hyperlink>
      <w:r w:rsidRPr="00A74CEA">
        <w:rPr>
          <w:rFonts w:ascii="Verdana" w:eastAsia="Times New Roman" w:hAnsi="Verdana" w:cs="Times New Roman"/>
          <w:color w:val="000000"/>
          <w:highlight w:val="lightGray"/>
        </w:rPr>
        <w:t> participants and assurance of data quality, are maintained.</w:t>
      </w:r>
    </w:p>
    <w:p w:rsidR="00C013FC" w:rsidRPr="00C013FC" w:rsidRDefault="00C013FC" w:rsidP="00C013FC">
      <w:pPr>
        <w:spacing w:beforeAutospacing="1" w:afterAutospacing="1"/>
        <w:rPr>
          <w:rFonts w:ascii="Verdana" w:eastAsia="Times New Roman" w:hAnsi="Verdana" w:cs="Times New Roman"/>
          <w:color w:val="000000"/>
        </w:rPr>
      </w:pPr>
      <w:r w:rsidRPr="00A74CEA">
        <w:rPr>
          <w:rFonts w:ascii="Verdana" w:eastAsia="Times New Roman" w:hAnsi="Verdana" w:cs="Times New Roman"/>
          <w:color w:val="000000"/>
          <w:highlight w:val="lightGray"/>
        </w:rPr>
        <w:t>This is the first step outlined in the process of renovation of </w:t>
      </w:r>
      <w:hyperlink r:id="rId15" w:tgtFrame="_blank" w:tooltip="A code of international standards concerning the design, conduct, performance, monitoring, auditing, recording, analysis and reporting of clinical trials. Good clinical practice provides assurance that a study’s results are credible and accurate and that the rights and confidentiality of the study subjects are protected. Abbreviated as GCP. &#13; &#13; More information can be found under Good clinical practice" w:history="1">
        <w:r w:rsidRPr="00A74CEA">
          <w:rPr>
            <w:rFonts w:ascii="Verdana" w:eastAsia="Times New Roman" w:hAnsi="Verdana" w:cs="Times New Roman"/>
            <w:color w:val="000000"/>
            <w:highlight w:val="lightGray"/>
            <w:u w:val="single"/>
          </w:rPr>
          <w:t>good clinical practice</w:t>
        </w:r>
      </w:hyperlink>
      <w:r w:rsidRPr="00A74CEA">
        <w:rPr>
          <w:rFonts w:ascii="Verdana" w:eastAsia="Times New Roman" w:hAnsi="Verdana" w:cs="Times New Roman"/>
          <w:color w:val="000000"/>
          <w:highlight w:val="lightGray"/>
        </w:rPr>
        <w:t> (GCP), described in the </w:t>
      </w:r>
      <w:hyperlink r:id="rId16" w:tgtFrame="_blank" w:history="1">
        <w:r w:rsidRPr="00A74CEA">
          <w:rPr>
            <w:rFonts w:ascii="Verdana" w:eastAsia="Times New Roman" w:hAnsi="Verdana" w:cs="Times New Roman"/>
            <w:color w:val="75197C"/>
            <w:highlight w:val="lightGray"/>
            <w:u w:val="single"/>
          </w:rPr>
          <w:t>ICH reflection paper on GCP "Renovation"</w:t>
        </w:r>
      </w:hyperlink>
      <w:r w:rsidRPr="00A74CEA">
        <w:rPr>
          <w:rFonts w:ascii="Verdana" w:eastAsia="Times New Roman" w:hAnsi="Verdana" w:cs="Times New Roman"/>
          <w:color w:val="000000"/>
          <w:highlight w:val="lightGray"/>
        </w:rPr>
        <w:t>. The </w:t>
      </w:r>
      <w:hyperlink r:id="rId17" w:tgtFrame="_blank" w:tooltip="A document outlining the view of the European Medicines Agency or one of its committees, working parties or other groups on a particular issue. &#13; &#13; More information can be found under 'Scientific guidelines'." w:history="1">
        <w:r w:rsidRPr="00A74CEA">
          <w:rPr>
            <w:rFonts w:ascii="Verdana" w:eastAsia="Times New Roman" w:hAnsi="Verdana" w:cs="Times New Roman"/>
            <w:color w:val="000000"/>
            <w:highlight w:val="lightGray"/>
            <w:u w:val="single"/>
          </w:rPr>
          <w:t>reflection paper</w:t>
        </w:r>
      </w:hyperlink>
      <w:r w:rsidRPr="00A74CEA">
        <w:rPr>
          <w:rFonts w:ascii="Verdana" w:eastAsia="Times New Roman" w:hAnsi="Verdana" w:cs="Times New Roman"/>
          <w:color w:val="000000"/>
          <w:highlight w:val="lightGray"/>
        </w:rPr>
        <w:t> contains the </w:t>
      </w:r>
      <w:hyperlink r:id="rId18" w:tgtFrame="_blank" w:tooltip="The International Council for Harmonisation of Technical Requirements for Registration of Pharmaceuticals for Human Use (ICH) brings together regulatory authorities and the pharmaceutical industry. It makes recommendations towards achieving greater harmonisation in the interpretation and application of technical guidelines and requirements for pharmaceutical product registration." w:history="1">
        <w:r w:rsidRPr="00A74CEA">
          <w:rPr>
            <w:rFonts w:ascii="Verdana" w:eastAsia="Times New Roman" w:hAnsi="Verdana" w:cs="Times New Roman"/>
            <w:color w:val="000000"/>
            <w:highlight w:val="lightGray"/>
            <w:u w:val="single"/>
          </w:rPr>
          <w:t>ICH</w:t>
        </w:r>
      </w:hyperlink>
      <w:r w:rsidRPr="00A74CEA">
        <w:rPr>
          <w:rFonts w:ascii="Verdana" w:eastAsia="Times New Roman" w:hAnsi="Verdana" w:cs="Times New Roman"/>
          <w:color w:val="000000"/>
          <w:highlight w:val="lightGray"/>
        </w:rPr>
        <w:t xml:space="preserve"> proposal for further </w:t>
      </w:r>
      <w:proofErr w:type="spellStart"/>
      <w:r w:rsidRPr="00A74CEA">
        <w:rPr>
          <w:rFonts w:ascii="Verdana" w:eastAsia="Times New Roman" w:hAnsi="Verdana" w:cs="Times New Roman"/>
          <w:color w:val="000000"/>
          <w:highlight w:val="lightGray"/>
        </w:rPr>
        <w:t>modernisation</w:t>
      </w:r>
      <w:proofErr w:type="spellEnd"/>
      <w:r w:rsidRPr="00A74CEA">
        <w:rPr>
          <w:rFonts w:ascii="Verdana" w:eastAsia="Times New Roman" w:hAnsi="Verdana" w:cs="Times New Roman"/>
          <w:color w:val="000000"/>
          <w:highlight w:val="lightGray"/>
        </w:rPr>
        <w:t xml:space="preserve"> of the </w:t>
      </w:r>
      <w:hyperlink r:id="rId19" w:tgtFrame="_blank" w:tooltip="The International Council for Harmonisation of Technical Requirements for Registration of Pharmaceuticals for Human Use (ICH) brings together regulatory authorities and the pharmaceutical industry. It makes recommendations towards achieving greater harmonisation in the interpretation and application of technical guidelines and requirements for pharmaceutical product registration." w:history="1">
        <w:r w:rsidRPr="00A74CEA">
          <w:rPr>
            <w:rFonts w:ascii="Verdana" w:eastAsia="Times New Roman" w:hAnsi="Verdana" w:cs="Times New Roman"/>
            <w:color w:val="000000"/>
            <w:highlight w:val="lightGray"/>
            <w:u w:val="single"/>
          </w:rPr>
          <w:t>ICH</w:t>
        </w:r>
      </w:hyperlink>
      <w:r w:rsidRPr="00A74CEA">
        <w:rPr>
          <w:rFonts w:ascii="Verdana" w:eastAsia="Times New Roman" w:hAnsi="Verdana" w:cs="Times New Roman"/>
          <w:color w:val="000000"/>
          <w:highlight w:val="lightGray"/>
        </w:rPr>
        <w:t> </w:t>
      </w:r>
      <w:hyperlink r:id="rId20"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A74CEA">
          <w:rPr>
            <w:rFonts w:ascii="Verdana" w:eastAsia="Times New Roman" w:hAnsi="Verdana" w:cs="Times New Roman"/>
            <w:color w:val="000000"/>
            <w:highlight w:val="lightGray"/>
            <w:u w:val="single"/>
          </w:rPr>
          <w:t>guidelines</w:t>
        </w:r>
      </w:hyperlink>
      <w:r w:rsidRPr="00A74CEA">
        <w:rPr>
          <w:rFonts w:ascii="Verdana" w:eastAsia="Times New Roman" w:hAnsi="Verdana" w:cs="Times New Roman"/>
          <w:color w:val="000000"/>
          <w:highlight w:val="lightGray"/>
        </w:rPr>
        <w:t> related to </w:t>
      </w:r>
      <w:hyperlink r:id="rId21" w:tgtFrame="_blank" w:tooltip="A study performed to investigate the safety or efficacy of a medicine. For human medicines, these studies are carried out in human volunteers." w:history="1">
        <w:r w:rsidRPr="00A74CEA">
          <w:rPr>
            <w:rFonts w:ascii="Verdana" w:eastAsia="Times New Roman" w:hAnsi="Verdana" w:cs="Times New Roman"/>
            <w:color w:val="000000"/>
            <w:highlight w:val="lightGray"/>
            <w:u w:val="single"/>
          </w:rPr>
          <w:t>clinical trial</w:t>
        </w:r>
      </w:hyperlink>
      <w:r w:rsidRPr="00A74CEA">
        <w:rPr>
          <w:rFonts w:ascii="Verdana" w:eastAsia="Times New Roman" w:hAnsi="Verdana" w:cs="Times New Roman"/>
          <w:color w:val="000000"/>
          <w:highlight w:val="lightGray"/>
        </w:rPr>
        <w:t> design, planning, management, and conduct. The scope of the proposed renovation includes the current E8 </w:t>
      </w:r>
      <w:hyperlink r:id="rId22"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A74CEA">
          <w:rPr>
            <w:rFonts w:ascii="Verdana" w:eastAsia="Times New Roman" w:hAnsi="Verdana" w:cs="Times New Roman"/>
            <w:color w:val="000000"/>
            <w:highlight w:val="lightGray"/>
            <w:u w:val="single"/>
          </w:rPr>
          <w:t>guideline</w:t>
        </w:r>
      </w:hyperlink>
      <w:r w:rsidRPr="00A74CEA">
        <w:rPr>
          <w:rFonts w:ascii="Verdana" w:eastAsia="Times New Roman" w:hAnsi="Verdana" w:cs="Times New Roman"/>
          <w:color w:val="000000"/>
          <w:highlight w:val="lightGray"/>
        </w:rPr>
        <w:t> and further revision to the E6 </w:t>
      </w:r>
      <w:hyperlink r:id="rId23"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A74CEA">
          <w:rPr>
            <w:rFonts w:ascii="Verdana" w:eastAsia="Times New Roman" w:hAnsi="Verdana" w:cs="Times New Roman"/>
            <w:color w:val="000000"/>
            <w:highlight w:val="lightGray"/>
            <w:u w:val="single"/>
          </w:rPr>
          <w:t>Guideline</w:t>
        </w:r>
      </w:hyperlink>
      <w:r w:rsidRPr="00A74CEA">
        <w:rPr>
          <w:rFonts w:ascii="Verdana" w:eastAsia="Times New Roman" w:hAnsi="Verdana" w:cs="Times New Roman"/>
          <w:color w:val="000000"/>
          <w:highlight w:val="lightGray"/>
        </w:rPr>
        <w:t> for </w:t>
      </w:r>
      <w:hyperlink r:id="rId24" w:tgtFrame="_blank" w:tooltip="A code of international standards concerning the design, conduct, performance, monitoring, auditing, recording, analysis and reporting of clinical trials. Good clinical practice provides assurance that a study’s results are credible and accurate and that the rights and confidentiality of the study subjects are protected. Abbreviated as GCP. &#13; &#13; More information can be found under Good clinical practice" w:history="1">
        <w:r w:rsidRPr="00A74CEA">
          <w:rPr>
            <w:rFonts w:ascii="Verdana" w:eastAsia="Times New Roman" w:hAnsi="Verdana" w:cs="Times New Roman"/>
            <w:color w:val="000000"/>
            <w:highlight w:val="lightGray"/>
            <w:u w:val="single"/>
          </w:rPr>
          <w:t>Good Clinical Practice</w:t>
        </w:r>
      </w:hyperlink>
      <w:r w:rsidRPr="00A74CEA">
        <w:rPr>
          <w:rFonts w:ascii="Verdana" w:eastAsia="Times New Roman" w:hAnsi="Verdana" w:cs="Times New Roman"/>
          <w:color w:val="000000"/>
          <w:highlight w:val="lightGray"/>
        </w:rPr>
        <w:t>.</w:t>
      </w:r>
    </w:p>
    <w:p w:rsidR="00C013FC" w:rsidRPr="00A74CEA" w:rsidRDefault="00C013FC" w:rsidP="00C013FC">
      <w:pPr>
        <w:spacing w:beforeAutospacing="1" w:afterAutospacing="1"/>
        <w:rPr>
          <w:rFonts w:ascii="Verdana" w:eastAsia="Times New Roman" w:hAnsi="Verdana" w:cs="Times New Roman"/>
          <w:color w:val="000000"/>
          <w:highlight w:val="yellow"/>
        </w:rPr>
      </w:pPr>
      <w:r w:rsidRPr="00A74CEA">
        <w:rPr>
          <w:rFonts w:ascii="Verdana" w:eastAsia="Times New Roman" w:hAnsi="Verdana" w:cs="Times New Roman"/>
          <w:color w:val="000000"/>
          <w:highlight w:val="yellow"/>
        </w:rPr>
        <w:t>The </w:t>
      </w:r>
      <w:r w:rsidRPr="00A74CEA">
        <w:rPr>
          <w:rFonts w:ascii="Verdana" w:eastAsia="Times New Roman" w:hAnsi="Verdana" w:cs="Times New Roman"/>
          <w:color w:val="000000"/>
          <w:highlight w:val="yellow"/>
        </w:rPr>
        <w:fldChar w:fldCharType="begin"/>
      </w:r>
      <w:r w:rsidRPr="00A74CEA">
        <w:rPr>
          <w:rFonts w:ascii="Verdana" w:eastAsia="Times New Roman" w:hAnsi="Verdana" w:cs="Times New Roman"/>
          <w:color w:val="000000"/>
          <w:highlight w:val="yellow"/>
        </w:rPr>
        <w:instrText xml:space="preserve"> INCLUDEPICTURE "/var/folders/nj/m875g2tj2j50hjqpdb11s_540000gn/T/com.microsoft.Word/WebArchiveCopyPasteTempFiles/application-pdf.svg" \* MERGEFORMATINET </w:instrText>
      </w:r>
      <w:r w:rsidRPr="00A74CEA">
        <w:rPr>
          <w:rFonts w:ascii="Verdana" w:eastAsia="Times New Roman" w:hAnsi="Verdana" w:cs="Times New Roman"/>
          <w:color w:val="000000"/>
          <w:highlight w:val="yellow"/>
        </w:rPr>
        <w:fldChar w:fldCharType="separate"/>
      </w:r>
      <w:r w:rsidRPr="00A74CEA">
        <w:rPr>
          <w:rFonts w:ascii="Verdana" w:eastAsia="Times New Roman" w:hAnsi="Verdana" w:cs="Times New Roman"/>
          <w:noProof/>
          <w:color w:val="000000"/>
          <w:highlight w:val="yellow"/>
        </w:rPr>
        <mc:AlternateContent>
          <mc:Choice Requires="wps">
            <w:drawing>
              <wp:inline distT="0" distB="0" distL="0" distR="0">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529C5"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A74CEA">
        <w:rPr>
          <w:rFonts w:ascii="Verdana" w:eastAsia="Times New Roman" w:hAnsi="Verdana" w:cs="Times New Roman"/>
          <w:color w:val="000000"/>
          <w:highlight w:val="yellow"/>
        </w:rPr>
        <w:fldChar w:fldCharType="end"/>
      </w:r>
      <w:hyperlink r:id="rId25" w:tgtFrame="_blank" w:history="1">
        <w:r w:rsidRPr="00A74CEA">
          <w:rPr>
            <w:rFonts w:ascii="Verdana" w:eastAsia="Times New Roman" w:hAnsi="Verdana" w:cs="Times New Roman"/>
            <w:color w:val="75197C"/>
            <w:highlight w:val="yellow"/>
            <w:u w:val="single"/>
          </w:rPr>
          <w:t>draft revised E8 guideline</w:t>
        </w:r>
      </w:hyperlink>
      <w:r w:rsidRPr="00A74CEA">
        <w:rPr>
          <w:rFonts w:ascii="Verdana" w:eastAsia="Times New Roman" w:hAnsi="Verdana" w:cs="Times New Roman"/>
          <w:color w:val="000000"/>
          <w:highlight w:val="yellow"/>
        </w:rPr>
        <w:t> was released for public consultation in May 2019 and it will remain open until 30 September 2019.</w:t>
      </w:r>
    </w:p>
    <w:p w:rsidR="00C013FC" w:rsidRPr="00A74CEA" w:rsidRDefault="00C013FC" w:rsidP="00C013FC">
      <w:pPr>
        <w:spacing w:beforeAutospacing="1" w:afterAutospacing="1"/>
        <w:rPr>
          <w:rFonts w:ascii="Verdana" w:eastAsia="Times New Roman" w:hAnsi="Verdana" w:cs="Times New Roman"/>
          <w:color w:val="000000"/>
          <w:highlight w:val="yellow"/>
        </w:rPr>
      </w:pPr>
      <w:r w:rsidRPr="00A74CEA">
        <w:rPr>
          <w:rFonts w:ascii="Verdana" w:eastAsia="Times New Roman" w:hAnsi="Verdana" w:cs="Times New Roman"/>
          <w:color w:val="000000"/>
          <w:highlight w:val="yellow"/>
        </w:rPr>
        <w:lastRenderedPageBreak/>
        <w:t>The purpose of the public meeting is to provide information and gather feedback from a broad range of stakeholder groups not represented in </w:t>
      </w:r>
      <w:hyperlink r:id="rId26" w:tgtFrame="_blank" w:tooltip="The International Council for Harmonisation of Technical Requirements for Registration of Pharmaceuticals for Human Use (ICH) brings together regulatory authorities and the pharmaceutical industry. It makes recommendations towards achieving greater harmonisation in the interpretation and application of technical guidelines and requirements for pharmaceutical product registration." w:history="1">
        <w:r w:rsidRPr="00A74CEA">
          <w:rPr>
            <w:rFonts w:ascii="Verdana" w:eastAsia="Times New Roman" w:hAnsi="Verdana" w:cs="Times New Roman"/>
            <w:color w:val="000000"/>
            <w:highlight w:val="yellow"/>
            <w:u w:val="single"/>
          </w:rPr>
          <w:t>ICH</w:t>
        </w:r>
      </w:hyperlink>
      <w:r w:rsidRPr="00A74CEA">
        <w:rPr>
          <w:rFonts w:ascii="Verdana" w:eastAsia="Times New Roman" w:hAnsi="Verdana" w:cs="Times New Roman"/>
          <w:color w:val="000000"/>
          <w:highlight w:val="yellow"/>
        </w:rPr>
        <w:t>. The viewpoints and concerns expressed by external stakeholders will feed into the revision process of this fundamental </w:t>
      </w:r>
      <w:hyperlink r:id="rId27"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A74CEA">
          <w:rPr>
            <w:rFonts w:ascii="Verdana" w:eastAsia="Times New Roman" w:hAnsi="Verdana" w:cs="Times New Roman"/>
            <w:color w:val="000000"/>
            <w:highlight w:val="yellow"/>
            <w:u w:val="single"/>
          </w:rPr>
          <w:t>guideline</w:t>
        </w:r>
      </w:hyperlink>
      <w:r w:rsidRPr="00A74CEA">
        <w:rPr>
          <w:rFonts w:ascii="Verdana" w:eastAsia="Times New Roman" w:hAnsi="Verdana" w:cs="Times New Roman"/>
          <w:color w:val="000000"/>
          <w:highlight w:val="yellow"/>
        </w:rPr>
        <w:t>.</w:t>
      </w:r>
    </w:p>
    <w:p w:rsidR="00C013FC" w:rsidRPr="00C013FC" w:rsidRDefault="00C013FC" w:rsidP="00C013FC">
      <w:pPr>
        <w:spacing w:beforeAutospacing="1" w:afterAutospacing="1"/>
        <w:rPr>
          <w:rFonts w:ascii="Verdana" w:eastAsia="Times New Roman" w:hAnsi="Verdana" w:cs="Times New Roman"/>
          <w:color w:val="000000"/>
        </w:rPr>
      </w:pPr>
      <w:r w:rsidRPr="00A74CEA">
        <w:rPr>
          <w:rFonts w:ascii="Verdana" w:eastAsia="Times New Roman" w:hAnsi="Verdana" w:cs="Times New Roman"/>
          <w:color w:val="000000"/>
          <w:highlight w:val="yellow"/>
        </w:rPr>
        <w:t>The meeting will be held on 31 October 2019, 8:30 – 18:00, at the FDA headquarters in Silver Spring, Maryland, USA. Participants can </w:t>
      </w:r>
      <w:hyperlink r:id="rId28" w:tgtFrame="_blank" w:history="1">
        <w:r w:rsidRPr="00A74CEA">
          <w:rPr>
            <w:rFonts w:ascii="Verdana" w:eastAsia="Times New Roman" w:hAnsi="Verdana" w:cs="Times New Roman"/>
            <w:color w:val="75197C"/>
            <w:highlight w:val="yellow"/>
            <w:u w:val="single"/>
          </w:rPr>
          <w:t>register to attend in person or via webcast</w:t>
        </w:r>
      </w:hyperlink>
      <w:r w:rsidRPr="00A74CEA">
        <w:rPr>
          <w:rFonts w:ascii="Verdana" w:eastAsia="Times New Roman" w:hAnsi="Verdana" w:cs="Times New Roman"/>
          <w:color w:val="000000"/>
          <w:highlight w:val="yellow"/>
        </w:rPr>
        <w:t>, on a first-come, first-served basis. More information, including on how to register, is available on the </w:t>
      </w:r>
      <w:hyperlink r:id="rId29" w:anchor="4-2" w:tgtFrame="_blank" w:history="1">
        <w:r w:rsidRPr="00A74CEA">
          <w:rPr>
            <w:rFonts w:ascii="Verdana" w:eastAsia="Times New Roman" w:hAnsi="Verdana" w:cs="Times New Roman"/>
            <w:color w:val="75197C"/>
            <w:highlight w:val="yellow"/>
            <w:u w:val="single"/>
          </w:rPr>
          <w:t>ICH website</w:t>
        </w:r>
      </w:hyperlink>
      <w:r w:rsidRPr="00A74CEA">
        <w:rPr>
          <w:rFonts w:ascii="Verdana" w:eastAsia="Times New Roman" w:hAnsi="Verdana" w:cs="Times New Roman"/>
          <w:color w:val="000000"/>
          <w:highlight w:val="yellow"/>
        </w:rPr>
        <w:t>.</w:t>
      </w:r>
    </w:p>
    <w:bookmarkStart w:id="0" w:name="_GoBack"/>
    <w:bookmarkEnd w:id="0"/>
    <w:p w:rsidR="00C013FC" w:rsidRPr="00C013FC" w:rsidRDefault="00A74CEA" w:rsidP="00C013FC">
      <w:pPr>
        <w:spacing w:beforeAutospacing="1" w:afterAutospacing="1"/>
        <w:rPr>
          <w:rFonts w:ascii="Verdana" w:eastAsia="Times New Roman" w:hAnsi="Verdana" w:cs="Times New Roman"/>
          <w:color w:val="000000"/>
        </w:rPr>
      </w:pPr>
      <w:r w:rsidRPr="00A74CEA">
        <w:rPr>
          <w:rFonts w:ascii="Verdana" w:eastAsia="Times New Roman" w:hAnsi="Verdana" w:cs="Times New Roman"/>
          <w:color w:val="000000"/>
          <w:highlight w:val="yellow"/>
          <w:u w:val="single"/>
        </w:rPr>
        <w:fldChar w:fldCharType="begin"/>
      </w:r>
      <w:r w:rsidRPr="00A74CEA">
        <w:rPr>
          <w:rFonts w:ascii="Verdana" w:eastAsia="Times New Roman" w:hAnsi="Verdana" w:cs="Times New Roman"/>
          <w:color w:val="000000"/>
          <w:highlight w:val="yellow"/>
          <w:u w:val="single"/>
        </w:rPr>
        <w:instrText xml:space="preserve"> HYPERLINK "https://www.ema.europa.eu/en/glossary/ich" \t "_blank" \o "The International Council for Harmonisation of Technical </w:instrText>
      </w:r>
      <w:r w:rsidRPr="00A74CEA">
        <w:rPr>
          <w:rFonts w:ascii="Verdana" w:eastAsia="Times New Roman" w:hAnsi="Verdana" w:cs="Times New Roman"/>
          <w:color w:val="000000"/>
          <w:highlight w:val="yellow"/>
          <w:u w:val="single"/>
        </w:rPr>
        <w:instrText>Requirements for Registration of Pharmaceuticals for Human Use (ICH) brings together regulatory authorities and the pharmaceutical industry. It makes recommendations towards achieving greater harmonisation in the interpretation and application of technical</w:instrText>
      </w:r>
      <w:r w:rsidRPr="00A74CEA">
        <w:rPr>
          <w:rFonts w:ascii="Verdana" w:eastAsia="Times New Roman" w:hAnsi="Verdana" w:cs="Times New Roman"/>
          <w:color w:val="000000"/>
          <w:highlight w:val="yellow"/>
          <w:u w:val="single"/>
        </w:rPr>
        <w:instrText xml:space="preserve"> guidelines and requirements for pharmaceutical product registration." </w:instrText>
      </w:r>
      <w:r w:rsidRPr="00A74CEA">
        <w:rPr>
          <w:rFonts w:ascii="Verdana" w:eastAsia="Times New Roman" w:hAnsi="Verdana" w:cs="Times New Roman"/>
          <w:color w:val="000000"/>
          <w:highlight w:val="yellow"/>
          <w:u w:val="single"/>
        </w:rPr>
        <w:fldChar w:fldCharType="separate"/>
      </w:r>
      <w:r w:rsidR="00C013FC" w:rsidRPr="00A74CEA">
        <w:rPr>
          <w:rFonts w:ascii="Verdana" w:eastAsia="Times New Roman" w:hAnsi="Verdana" w:cs="Times New Roman"/>
          <w:color w:val="000000"/>
          <w:highlight w:val="yellow"/>
          <w:u w:val="single"/>
        </w:rPr>
        <w:t>ICH</w:t>
      </w:r>
      <w:r w:rsidRPr="00A74CEA">
        <w:rPr>
          <w:rFonts w:ascii="Verdana" w:eastAsia="Times New Roman" w:hAnsi="Verdana" w:cs="Times New Roman"/>
          <w:color w:val="000000"/>
          <w:highlight w:val="yellow"/>
          <w:u w:val="single"/>
        </w:rPr>
        <w:fldChar w:fldCharType="end"/>
      </w:r>
      <w:r w:rsidR="00C013FC" w:rsidRPr="00A74CEA">
        <w:rPr>
          <w:rFonts w:ascii="Verdana" w:eastAsia="Times New Roman" w:hAnsi="Verdana" w:cs="Times New Roman"/>
          <w:color w:val="000000"/>
          <w:highlight w:val="yellow"/>
        </w:rPr>
        <w:t> is an international non-profit association that brings together regulatory authorities from around the globe and experts from the pharmaceutical industry to discuss scientific and technical aspects of medicines registration to enable truly global deployment of innovative approaches in drug development</w:t>
      </w:r>
      <w:r w:rsidR="00C013FC" w:rsidRPr="00C013FC">
        <w:rPr>
          <w:rFonts w:ascii="Verdana" w:eastAsia="Times New Roman" w:hAnsi="Verdana" w:cs="Times New Roman"/>
          <w:color w:val="000000"/>
        </w:rPr>
        <w:t>.</w:t>
      </w:r>
    </w:p>
    <w:p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30"/>
    <w:rsid w:val="000F3130"/>
    <w:rsid w:val="0012583D"/>
    <w:rsid w:val="00453EED"/>
    <w:rsid w:val="00A74CEA"/>
    <w:rsid w:val="00BE080D"/>
    <w:rsid w:val="00C0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77B80DE8-0CB7-B345-B424-8A5C03FE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013F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FC"/>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C013FC"/>
  </w:style>
  <w:style w:type="paragraph" w:styleId="NormalWeb">
    <w:name w:val="Normal (Web)"/>
    <w:basedOn w:val="Normal"/>
    <w:uiPriority w:val="99"/>
    <w:semiHidden/>
    <w:unhideWhenUsed/>
    <w:rsid w:val="00C013F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013FC"/>
  </w:style>
  <w:style w:type="character" w:styleId="Hyperlink">
    <w:name w:val="Hyperlink"/>
    <w:basedOn w:val="DefaultParagraphFont"/>
    <w:uiPriority w:val="99"/>
    <w:semiHidden/>
    <w:unhideWhenUsed/>
    <w:rsid w:val="00C013FC"/>
    <w:rPr>
      <w:color w:val="0000FF"/>
      <w:u w:val="single"/>
    </w:rPr>
  </w:style>
  <w:style w:type="character" w:customStyle="1" w:styleId="file">
    <w:name w:val="file"/>
    <w:basedOn w:val="DefaultParagraphFont"/>
    <w:rsid w:val="00C0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6785">
      <w:bodyDiv w:val="1"/>
      <w:marLeft w:val="0"/>
      <w:marRight w:val="0"/>
      <w:marTop w:val="0"/>
      <w:marBottom w:val="0"/>
      <w:divBdr>
        <w:top w:val="none" w:sz="0" w:space="0" w:color="auto"/>
        <w:left w:val="none" w:sz="0" w:space="0" w:color="auto"/>
        <w:bottom w:val="none" w:sz="0" w:space="0" w:color="auto"/>
        <w:right w:val="none" w:sz="0" w:space="0" w:color="auto"/>
      </w:divBdr>
      <w:divsChild>
        <w:div w:id="1529297537">
          <w:marLeft w:val="0"/>
          <w:marRight w:val="0"/>
          <w:marTop w:val="0"/>
          <w:marBottom w:val="0"/>
          <w:divBdr>
            <w:top w:val="none" w:sz="0" w:space="0" w:color="auto"/>
            <w:left w:val="none" w:sz="0" w:space="0" w:color="auto"/>
            <w:bottom w:val="none" w:sz="0" w:space="0" w:color="auto"/>
            <w:right w:val="none" w:sz="0" w:space="0" w:color="auto"/>
          </w:divBdr>
          <w:divsChild>
            <w:div w:id="36514114">
              <w:marLeft w:val="0"/>
              <w:marRight w:val="0"/>
              <w:marTop w:val="0"/>
              <w:marBottom w:val="0"/>
              <w:divBdr>
                <w:top w:val="none" w:sz="0" w:space="0" w:color="auto"/>
                <w:left w:val="none" w:sz="0" w:space="0" w:color="auto"/>
                <w:bottom w:val="none" w:sz="0" w:space="0" w:color="auto"/>
                <w:right w:val="none" w:sz="0" w:space="0" w:color="auto"/>
              </w:divBdr>
            </w:div>
          </w:divsChild>
        </w:div>
        <w:div w:id="2103451281">
          <w:marLeft w:val="0"/>
          <w:marRight w:val="0"/>
          <w:marTop w:val="0"/>
          <w:marBottom w:val="0"/>
          <w:divBdr>
            <w:top w:val="none" w:sz="0" w:space="0" w:color="auto"/>
            <w:left w:val="none" w:sz="0" w:space="0" w:color="auto"/>
            <w:bottom w:val="none" w:sz="0" w:space="0" w:color="auto"/>
            <w:right w:val="none" w:sz="0" w:space="0" w:color="auto"/>
          </w:divBdr>
        </w:div>
        <w:div w:id="574364307">
          <w:marLeft w:val="0"/>
          <w:marRight w:val="0"/>
          <w:marTop w:val="0"/>
          <w:marBottom w:val="0"/>
          <w:divBdr>
            <w:top w:val="none" w:sz="0" w:space="0" w:color="auto"/>
            <w:left w:val="none" w:sz="0" w:space="0" w:color="auto"/>
            <w:bottom w:val="none" w:sz="0" w:space="0" w:color="auto"/>
            <w:right w:val="none" w:sz="0" w:space="0" w:color="auto"/>
          </w:divBdr>
          <w:divsChild>
            <w:div w:id="601645974">
              <w:marLeft w:val="0"/>
              <w:marRight w:val="0"/>
              <w:marTop w:val="0"/>
              <w:marBottom w:val="0"/>
              <w:divBdr>
                <w:top w:val="none" w:sz="0" w:space="0" w:color="auto"/>
                <w:left w:val="none" w:sz="0" w:space="0" w:color="auto"/>
                <w:bottom w:val="none" w:sz="0" w:space="0" w:color="auto"/>
                <w:right w:val="none" w:sz="0" w:space="0" w:color="auto"/>
              </w:divBdr>
              <w:divsChild>
                <w:div w:id="1137185360">
                  <w:marLeft w:val="0"/>
                  <w:marRight w:val="0"/>
                  <w:marTop w:val="0"/>
                  <w:marBottom w:val="0"/>
                  <w:divBdr>
                    <w:top w:val="none" w:sz="0" w:space="0" w:color="auto"/>
                    <w:left w:val="none" w:sz="0" w:space="0" w:color="auto"/>
                    <w:bottom w:val="none" w:sz="0" w:space="0" w:color="auto"/>
                    <w:right w:val="none" w:sz="0" w:space="0" w:color="auto"/>
                  </w:divBdr>
                  <w:divsChild>
                    <w:div w:id="713190536">
                      <w:marLeft w:val="0"/>
                      <w:marRight w:val="0"/>
                      <w:marTop w:val="0"/>
                      <w:marBottom w:val="0"/>
                      <w:divBdr>
                        <w:top w:val="none" w:sz="0" w:space="0" w:color="auto"/>
                        <w:left w:val="none" w:sz="0" w:space="0" w:color="auto"/>
                        <w:bottom w:val="none" w:sz="0" w:space="0" w:color="auto"/>
                        <w:right w:val="none" w:sz="0" w:space="0" w:color="auto"/>
                      </w:divBdr>
                      <w:divsChild>
                        <w:div w:id="360252207">
                          <w:marLeft w:val="0"/>
                          <w:marRight w:val="0"/>
                          <w:marTop w:val="0"/>
                          <w:marBottom w:val="0"/>
                          <w:divBdr>
                            <w:top w:val="none" w:sz="0" w:space="0" w:color="auto"/>
                            <w:left w:val="none" w:sz="0" w:space="0" w:color="auto"/>
                            <w:bottom w:val="none" w:sz="0" w:space="0" w:color="auto"/>
                            <w:right w:val="none" w:sz="0" w:space="0" w:color="auto"/>
                          </w:divBdr>
                          <w:divsChild>
                            <w:div w:id="674384121">
                              <w:marLeft w:val="0"/>
                              <w:marRight w:val="0"/>
                              <w:marTop w:val="0"/>
                              <w:marBottom w:val="0"/>
                              <w:divBdr>
                                <w:top w:val="none" w:sz="0" w:space="0" w:color="auto"/>
                                <w:left w:val="none" w:sz="0" w:space="0" w:color="auto"/>
                                <w:bottom w:val="none" w:sz="0" w:space="0" w:color="auto"/>
                                <w:right w:val="none" w:sz="0" w:space="0" w:color="auto"/>
                              </w:divBdr>
                              <w:divsChild>
                                <w:div w:id="1981180533">
                                  <w:marLeft w:val="0"/>
                                  <w:marRight w:val="0"/>
                                  <w:marTop w:val="0"/>
                                  <w:marBottom w:val="0"/>
                                  <w:divBdr>
                                    <w:top w:val="none" w:sz="0" w:space="0" w:color="auto"/>
                                    <w:left w:val="none" w:sz="0" w:space="0" w:color="auto"/>
                                    <w:bottom w:val="none" w:sz="0" w:space="0" w:color="auto"/>
                                    <w:right w:val="none" w:sz="0" w:space="0" w:color="auto"/>
                                  </w:divBdr>
                                  <w:divsChild>
                                    <w:div w:id="899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ich-e8-general-considerations-clinical-studies" TargetMode="External"/><Relationship Id="rId13" Type="http://schemas.openxmlformats.org/officeDocument/2006/relationships/hyperlink" Target="https://www.ema.europa.eu/en/glossary/clinical-trial" TargetMode="External"/><Relationship Id="rId18" Type="http://schemas.openxmlformats.org/officeDocument/2006/relationships/hyperlink" Target="https://www.ema.europa.eu/en/glossary/ich" TargetMode="External"/><Relationship Id="rId26" Type="http://schemas.openxmlformats.org/officeDocument/2006/relationships/hyperlink" Target="https://www.ema.europa.eu/en/glossary/ich" TargetMode="External"/><Relationship Id="rId3" Type="http://schemas.openxmlformats.org/officeDocument/2006/relationships/webSettings" Target="webSettings.xml"/><Relationship Id="rId21" Type="http://schemas.openxmlformats.org/officeDocument/2006/relationships/hyperlink" Target="https://www.ema.europa.eu/en/glossary/clinical-trial" TargetMode="External"/><Relationship Id="rId7" Type="http://schemas.openxmlformats.org/officeDocument/2006/relationships/hyperlink" Target="https://www.fda.gov/home" TargetMode="External"/><Relationship Id="rId12" Type="http://schemas.openxmlformats.org/officeDocument/2006/relationships/hyperlink" Target="https://www.ema.europa.eu/en/glossary/guideline" TargetMode="External"/><Relationship Id="rId17" Type="http://schemas.openxmlformats.org/officeDocument/2006/relationships/hyperlink" Target="https://www.ema.europa.eu/en/glossary/reflection-paper" TargetMode="External"/><Relationship Id="rId25" Type="http://schemas.openxmlformats.org/officeDocument/2006/relationships/hyperlink" Target="https://www.ema.europa.eu/documents/scientific-guideline/draft-ich-guideline-e8-r1-general-considerations-clinical-studies-step-2b_en.pdf" TargetMode="External"/><Relationship Id="rId2" Type="http://schemas.openxmlformats.org/officeDocument/2006/relationships/settings" Target="settings.xml"/><Relationship Id="rId16" Type="http://schemas.openxmlformats.org/officeDocument/2006/relationships/hyperlink" Target="http://www.ich.org/ichnews/newsroom/read/article/ich-reflection-on-gcp-renovation-modernization-of-ich-e8-and-subsequent-renovation-of-ich-e6.html" TargetMode="External"/><Relationship Id="rId20" Type="http://schemas.openxmlformats.org/officeDocument/2006/relationships/hyperlink" Target="https://www.ema.europa.eu/en/glossary/guideline" TargetMode="External"/><Relationship Id="rId29" Type="http://schemas.openxmlformats.org/officeDocument/2006/relationships/hyperlink" Target="https://www.ich.org/products/reflection-papers.html" TargetMode="External"/><Relationship Id="rId1" Type="http://schemas.openxmlformats.org/officeDocument/2006/relationships/styles" Target="styles.xml"/><Relationship Id="rId6" Type="http://schemas.openxmlformats.org/officeDocument/2006/relationships/hyperlink" Target="https://www.eventbrite.com/e/ich-global-meeting-on-e8r1-general-considerations-for-clinical-trials-tickets-65824068561" TargetMode="External"/><Relationship Id="rId11" Type="http://schemas.openxmlformats.org/officeDocument/2006/relationships/hyperlink" Target="https://www.ema.europa.eu/en/glossary/ich" TargetMode="External"/><Relationship Id="rId24" Type="http://schemas.openxmlformats.org/officeDocument/2006/relationships/hyperlink" Target="https://www.ema.europa.eu/en/glossary/good-clinical-practice" TargetMode="External"/><Relationship Id="rId5" Type="http://schemas.openxmlformats.org/officeDocument/2006/relationships/hyperlink" Target="https://www.ich.org/home.html" TargetMode="External"/><Relationship Id="rId15" Type="http://schemas.openxmlformats.org/officeDocument/2006/relationships/hyperlink" Target="https://www.ema.europa.eu/en/glossary/good-clinical-practice" TargetMode="External"/><Relationship Id="rId23" Type="http://schemas.openxmlformats.org/officeDocument/2006/relationships/hyperlink" Target="https://www.ema.europa.eu/en/glossary/guideline" TargetMode="External"/><Relationship Id="rId28" Type="http://schemas.openxmlformats.org/officeDocument/2006/relationships/hyperlink" Target="https://ichglobalmeeting_e8r1_2019_eu.eventbrite.com" TargetMode="External"/><Relationship Id="rId10" Type="http://schemas.openxmlformats.org/officeDocument/2006/relationships/hyperlink" Target="https://www.ema.europa.eu/en/glossary/clinical-trial" TargetMode="External"/><Relationship Id="rId19" Type="http://schemas.openxmlformats.org/officeDocument/2006/relationships/hyperlink" Target="https://www.ema.europa.eu/en/glossary/ich" TargetMode="External"/><Relationship Id="rId31" Type="http://schemas.openxmlformats.org/officeDocument/2006/relationships/theme" Target="theme/theme1.xml"/><Relationship Id="rId4" Type="http://schemas.openxmlformats.org/officeDocument/2006/relationships/hyperlink" Target="https://www.ema.europa.eu/en/glossary/clinical-trial" TargetMode="External"/><Relationship Id="rId9" Type="http://schemas.openxmlformats.org/officeDocument/2006/relationships/hyperlink" Target="https://www.ema.europa.eu/en/glossary/clinical-trial" TargetMode="External"/><Relationship Id="rId14" Type="http://schemas.openxmlformats.org/officeDocument/2006/relationships/hyperlink" Target="https://www.ema.europa.eu/en/glossary/clinical-trial" TargetMode="External"/><Relationship Id="rId22" Type="http://schemas.openxmlformats.org/officeDocument/2006/relationships/hyperlink" Target="https://www.ema.europa.eu/en/glossary/guideline" TargetMode="External"/><Relationship Id="rId27" Type="http://schemas.openxmlformats.org/officeDocument/2006/relationships/hyperlink" Target="https://www.ema.europa.eu/en/glossary/guidelin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2020-02-18T11:01:00Z</dcterms:created>
  <dcterms:modified xsi:type="dcterms:W3CDTF">2020-05-11T11:21:00Z</dcterms:modified>
</cp:coreProperties>
</file>