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46417" w14:textId="77777777" w:rsidR="00137258" w:rsidRPr="00137258" w:rsidRDefault="00137258" w:rsidP="00137258">
      <w:pPr>
        <w:outlineLvl w:val="0"/>
        <w:rPr>
          <w:rFonts w:ascii="Verdana" w:eastAsia="Times New Roman" w:hAnsi="Verdana" w:cs="Times New Roman"/>
          <w:color w:val="000000"/>
          <w:kern w:val="36"/>
          <w:sz w:val="48"/>
          <w:szCs w:val="48"/>
        </w:rPr>
      </w:pPr>
      <w:r w:rsidRPr="00137258">
        <w:rPr>
          <w:rFonts w:ascii="Verdana" w:eastAsia="Times New Roman" w:hAnsi="Verdana" w:cs="Times New Roman"/>
          <w:color w:val="000000"/>
          <w:kern w:val="36"/>
          <w:sz w:val="48"/>
          <w:szCs w:val="48"/>
        </w:rPr>
        <w:t>New measures to avoid potentially fatal dosing errors with methotrexate for inflammatory diseases</w:t>
      </w:r>
    </w:p>
    <w:p w14:paraId="12808633" w14:textId="77777777" w:rsidR="00137258" w:rsidRPr="00137258" w:rsidRDefault="00137258" w:rsidP="00137258">
      <w:pPr>
        <w:rPr>
          <w:rFonts w:ascii="Times New Roman" w:eastAsia="Times New Roman" w:hAnsi="Times New Roman" w:cs="Times New Roman"/>
        </w:rPr>
      </w:pPr>
      <w:r w:rsidRPr="00137258">
        <w:rPr>
          <w:rFonts w:ascii="Verdana" w:eastAsia="Times New Roman" w:hAnsi="Verdana" w:cs="Times New Roman"/>
          <w:color w:val="000000"/>
        </w:rPr>
        <w:t> </w:t>
      </w:r>
    </w:p>
    <w:p w14:paraId="67A8FCB6" w14:textId="77777777" w:rsidR="00137258" w:rsidRPr="00137258" w:rsidRDefault="00137258" w:rsidP="00137258">
      <w:pPr>
        <w:rPr>
          <w:rFonts w:ascii="Verdana" w:eastAsia="Times New Roman" w:hAnsi="Verdana" w:cs="Times New Roman"/>
          <w:color w:val="000000"/>
        </w:rPr>
      </w:pPr>
      <w:r w:rsidRPr="00137258">
        <w:rPr>
          <w:rFonts w:ascii="Verdana" w:eastAsia="Times New Roman" w:hAnsi="Verdana" w:cs="Times New Roman"/>
          <w:color w:val="000000"/>
        </w:rPr>
        <w:t>Share</w:t>
      </w:r>
    </w:p>
    <w:p w14:paraId="58F3B612" w14:textId="77777777" w:rsidR="00137258" w:rsidRPr="00137258" w:rsidRDefault="00137258" w:rsidP="00137258">
      <w:pPr>
        <w:rPr>
          <w:rFonts w:ascii="Verdana" w:eastAsia="Times New Roman" w:hAnsi="Verdana" w:cs="Times New Roman"/>
          <w:color w:val="000000"/>
        </w:rPr>
      </w:pPr>
      <w:r w:rsidRPr="00137258">
        <w:rPr>
          <w:rFonts w:ascii="Verdana" w:eastAsia="Times New Roman" w:hAnsi="Verdana" w:cs="Times New Roman"/>
          <w:color w:val="000000"/>
        </w:rPr>
        <w:t>Press release 23/08/2019</w:t>
      </w:r>
    </w:p>
    <w:p w14:paraId="189CB638" w14:textId="77777777" w:rsidR="00137258" w:rsidRPr="00137258" w:rsidRDefault="00137258" w:rsidP="00137258">
      <w:p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EMA has recommended new measures to prevent serious and potentially fatal errors with the dosing of methotrexate for treating inflammatory diseases such as rheumatoid arthritis, psoriasis and Crohn’s disease. The recommendations result from a review of reports that patients are using methotrexate incorrectly despite previous measures to prevent errors.</w:t>
      </w:r>
    </w:p>
    <w:p w14:paraId="4F07487A" w14:textId="77777777" w:rsidR="00137258" w:rsidRPr="00202E84" w:rsidRDefault="00137258" w:rsidP="00137258">
      <w:pPr>
        <w:spacing w:before="100" w:beforeAutospacing="1" w:after="100" w:afterAutospacing="1"/>
        <w:rPr>
          <w:rFonts w:ascii="Verdana" w:eastAsia="Times New Roman" w:hAnsi="Verdana" w:cs="Times New Roman"/>
          <w:color w:val="000000"/>
          <w:highlight w:val="darkGray"/>
        </w:rPr>
      </w:pPr>
      <w:r w:rsidRPr="00202E84">
        <w:rPr>
          <w:rFonts w:ascii="Verdana" w:eastAsia="Times New Roman" w:hAnsi="Verdana" w:cs="Times New Roman"/>
          <w:color w:val="000000"/>
          <w:highlight w:val="darkGray"/>
        </w:rPr>
        <w:t>For inflammatory conditions, methotrexate must be used just once a week. Using methotrexate more frequently than intended can result in serious side effects. The review found that the error in dosing frequency can occur at any step from prescribing the medicine to the patient taking it.</w:t>
      </w:r>
    </w:p>
    <w:p w14:paraId="65744AC2" w14:textId="77777777" w:rsidR="00137258" w:rsidRPr="00137258" w:rsidRDefault="00137258" w:rsidP="00137258">
      <w:pPr>
        <w:spacing w:before="100" w:beforeAutospacing="1" w:after="100" w:afterAutospacing="1"/>
        <w:rPr>
          <w:rFonts w:ascii="Verdana" w:eastAsia="Times New Roman" w:hAnsi="Verdana" w:cs="Times New Roman"/>
          <w:color w:val="000000"/>
        </w:rPr>
      </w:pPr>
      <w:r w:rsidRPr="00202E84">
        <w:rPr>
          <w:rFonts w:ascii="Verdana" w:eastAsia="Times New Roman" w:hAnsi="Verdana" w:cs="Times New Roman"/>
          <w:color w:val="000000"/>
          <w:highlight w:val="darkGray"/>
        </w:rPr>
        <w:t>The new measures to prevent errors include restricting who can prescribe these medicines, making warnings on the packaging more prominent and providing educational materials for patients and healthcare professionals. In addition, to help patients follow the once-weekly dosing, methotrexate tablets will be provided in blister packs and not in bottles (or tubes). The measures were agreed after consultation with patients and healthcare professionals.</w:t>
      </w:r>
    </w:p>
    <w:p w14:paraId="3964D788" w14:textId="77777777" w:rsidR="00137258" w:rsidRPr="00137258" w:rsidRDefault="00137258" w:rsidP="00137258">
      <w:p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b/>
          <w:bCs/>
          <w:color w:val="000000"/>
        </w:rPr>
        <w:t>Information for patients</w:t>
      </w:r>
    </w:p>
    <w:p w14:paraId="6CAD5B30" w14:textId="77777777" w:rsidR="00137258" w:rsidRPr="00137258" w:rsidRDefault="00137258" w:rsidP="00137258">
      <w:pPr>
        <w:numPr>
          <w:ilvl w:val="0"/>
          <w:numId w:val="1"/>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If you are taking methotrexate for rheumatoid arthritis, psoriasis or Crohn’s disease, you must take it just once a week.</w:t>
      </w:r>
    </w:p>
    <w:p w14:paraId="51903806" w14:textId="77777777" w:rsidR="00137258" w:rsidRPr="00137258" w:rsidRDefault="00137258" w:rsidP="00137258">
      <w:pPr>
        <w:numPr>
          <w:ilvl w:val="0"/>
          <w:numId w:val="1"/>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Take your methotrexate medicine on the same day every week.</w:t>
      </w:r>
    </w:p>
    <w:p w14:paraId="24C21420" w14:textId="77777777" w:rsidR="00137258" w:rsidRPr="00137258" w:rsidRDefault="00137258" w:rsidP="00137258">
      <w:pPr>
        <w:numPr>
          <w:ilvl w:val="0"/>
          <w:numId w:val="1"/>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Follow the instructions on the packaging of your methotrexate medicine.</w:t>
      </w:r>
    </w:p>
    <w:p w14:paraId="448AD037" w14:textId="77777777" w:rsidR="00137258" w:rsidRPr="00137258" w:rsidRDefault="00137258" w:rsidP="00137258">
      <w:pPr>
        <w:numPr>
          <w:ilvl w:val="0"/>
          <w:numId w:val="1"/>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You will receive a patient card with your methotrexate tablets (or oral liquid). Read it carefully because it tells you how to take your medicine.</w:t>
      </w:r>
    </w:p>
    <w:p w14:paraId="1C62977D" w14:textId="77777777" w:rsidR="00137258" w:rsidRPr="00137258" w:rsidRDefault="00137258" w:rsidP="00137258">
      <w:pPr>
        <w:numPr>
          <w:ilvl w:val="0"/>
          <w:numId w:val="1"/>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Show your patient card to any new healthcare professional who treats you so that they know that you take your methotrexate medicine once a week.</w:t>
      </w:r>
    </w:p>
    <w:p w14:paraId="0D5A5128" w14:textId="77777777" w:rsidR="00137258" w:rsidRPr="00137258" w:rsidRDefault="00137258" w:rsidP="00137258">
      <w:pPr>
        <w:numPr>
          <w:ilvl w:val="0"/>
          <w:numId w:val="1"/>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lastRenderedPageBreak/>
        <w:t xml:space="preserve">See your doctor at once if you get a sore throat, fever, mouth ulcers, </w:t>
      </w:r>
      <w:proofErr w:type="spellStart"/>
      <w:r w:rsidRPr="00137258">
        <w:rPr>
          <w:rFonts w:ascii="Verdana" w:eastAsia="Times New Roman" w:hAnsi="Verdana" w:cs="Times New Roman"/>
          <w:color w:val="000000"/>
        </w:rPr>
        <w:t>diarrhoea</w:t>
      </w:r>
      <w:proofErr w:type="spellEnd"/>
      <w:r w:rsidRPr="00137258">
        <w:rPr>
          <w:rFonts w:ascii="Verdana" w:eastAsia="Times New Roman" w:hAnsi="Verdana" w:cs="Times New Roman"/>
          <w:color w:val="000000"/>
        </w:rPr>
        <w:t>, vomiting, skin rashes, bleeding or unusual weakness. These can be signs of taking too much methotrexate.</w:t>
      </w:r>
    </w:p>
    <w:p w14:paraId="5CE82E97" w14:textId="77777777" w:rsidR="00137258" w:rsidRPr="00137258" w:rsidRDefault="00137258" w:rsidP="00137258">
      <w:pPr>
        <w:numPr>
          <w:ilvl w:val="0"/>
          <w:numId w:val="1"/>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Always attend your scheduled clinic visits and blood test appointments. They are important for making sure that your methotrexate medicine is working and that it is not causing any concern.</w:t>
      </w:r>
    </w:p>
    <w:p w14:paraId="5250467F" w14:textId="77777777" w:rsidR="00137258" w:rsidRPr="00137258" w:rsidRDefault="00137258" w:rsidP="00137258">
      <w:pPr>
        <w:numPr>
          <w:ilvl w:val="0"/>
          <w:numId w:val="1"/>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If you are not sure about how to take your methotrexate medicine or you have any questions about it, talk to your doctor or pharmacist.</w:t>
      </w:r>
    </w:p>
    <w:p w14:paraId="6CAD68B3" w14:textId="77777777" w:rsidR="00137258" w:rsidRPr="00137258" w:rsidRDefault="00137258" w:rsidP="00137258">
      <w:p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b/>
          <w:bCs/>
          <w:color w:val="000000"/>
        </w:rPr>
        <w:t>Information for healthcare professionals</w:t>
      </w:r>
    </w:p>
    <w:p w14:paraId="539690D0" w14:textId="77777777" w:rsidR="00137258" w:rsidRPr="00137258" w:rsidRDefault="00137258" w:rsidP="00137258">
      <w:p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Healthcare professionals should follow these recommendations:</w:t>
      </w:r>
    </w:p>
    <w:p w14:paraId="523E6A15" w14:textId="77777777" w:rsidR="00137258" w:rsidRPr="00137258" w:rsidRDefault="00137258" w:rsidP="00137258">
      <w:pPr>
        <w:numPr>
          <w:ilvl w:val="0"/>
          <w:numId w:val="2"/>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Methotrexate for inflammatory conditions is intended for use just </w:t>
      </w:r>
      <w:r w:rsidRPr="00137258">
        <w:rPr>
          <w:rFonts w:ascii="Verdana" w:eastAsia="Times New Roman" w:hAnsi="Verdana" w:cs="Times New Roman"/>
          <w:b/>
          <w:bCs/>
          <w:color w:val="000000"/>
        </w:rPr>
        <w:t>once a week</w:t>
      </w:r>
      <w:r w:rsidRPr="00137258">
        <w:rPr>
          <w:rFonts w:ascii="Verdana" w:eastAsia="Times New Roman" w:hAnsi="Verdana" w:cs="Times New Roman"/>
          <w:color w:val="000000"/>
        </w:rPr>
        <w:t>. Serious side effects including fatalities have occurred when methotrexate is taken more often.</w:t>
      </w:r>
    </w:p>
    <w:p w14:paraId="3F787E65" w14:textId="77777777" w:rsidR="00137258" w:rsidRPr="00137258" w:rsidRDefault="00137258" w:rsidP="00137258">
      <w:pPr>
        <w:numPr>
          <w:ilvl w:val="0"/>
          <w:numId w:val="2"/>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Only physicians with expertise in using methotrexate medicines should prescribe them.</w:t>
      </w:r>
    </w:p>
    <w:p w14:paraId="0C95CF92" w14:textId="77777777" w:rsidR="00137258" w:rsidRPr="00137258" w:rsidRDefault="00137258" w:rsidP="00137258">
      <w:pPr>
        <w:numPr>
          <w:ilvl w:val="0"/>
          <w:numId w:val="2"/>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Healthcare professionals who prescribe or dispense methotrexate for inflammatory conditions should:</w:t>
      </w:r>
    </w:p>
    <w:p w14:paraId="6A48D693" w14:textId="77777777" w:rsidR="00137258" w:rsidRPr="00137258" w:rsidRDefault="00137258" w:rsidP="00137258">
      <w:pPr>
        <w:numPr>
          <w:ilvl w:val="1"/>
          <w:numId w:val="2"/>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read the educational materials for oral methotrexate medicines;</w:t>
      </w:r>
    </w:p>
    <w:p w14:paraId="075CAAA2" w14:textId="77777777" w:rsidR="00137258" w:rsidRPr="00137258" w:rsidRDefault="00137258" w:rsidP="00137258">
      <w:pPr>
        <w:numPr>
          <w:ilvl w:val="1"/>
          <w:numId w:val="2"/>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ensure that they are familiar with the latest changes to the summaries of product characteristics for methotrexate medicines used for inflammatory conditions;</w:t>
      </w:r>
    </w:p>
    <w:p w14:paraId="090ACB8B" w14:textId="77777777" w:rsidR="00137258" w:rsidRPr="00137258" w:rsidRDefault="00137258" w:rsidP="00137258">
      <w:pPr>
        <w:numPr>
          <w:ilvl w:val="1"/>
          <w:numId w:val="2"/>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 xml:space="preserve">give clear instructions to the patient (or </w:t>
      </w:r>
      <w:proofErr w:type="spellStart"/>
      <w:r w:rsidRPr="00137258">
        <w:rPr>
          <w:rFonts w:ascii="Verdana" w:eastAsia="Times New Roman" w:hAnsi="Verdana" w:cs="Times New Roman"/>
          <w:color w:val="000000"/>
        </w:rPr>
        <w:t>carer</w:t>
      </w:r>
      <w:proofErr w:type="spellEnd"/>
      <w:r w:rsidRPr="00137258">
        <w:rPr>
          <w:rFonts w:ascii="Verdana" w:eastAsia="Times New Roman" w:hAnsi="Verdana" w:cs="Times New Roman"/>
          <w:color w:val="000000"/>
        </w:rPr>
        <w:t>) about once-weekly dosing;</w:t>
      </w:r>
    </w:p>
    <w:p w14:paraId="7E2F39EE" w14:textId="77777777" w:rsidR="00137258" w:rsidRPr="00137258" w:rsidRDefault="00137258" w:rsidP="00137258">
      <w:pPr>
        <w:numPr>
          <w:ilvl w:val="1"/>
          <w:numId w:val="2"/>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 xml:space="preserve">check carefully that the patient (or </w:t>
      </w:r>
      <w:proofErr w:type="spellStart"/>
      <w:r w:rsidRPr="00137258">
        <w:rPr>
          <w:rFonts w:ascii="Verdana" w:eastAsia="Times New Roman" w:hAnsi="Verdana" w:cs="Times New Roman"/>
          <w:color w:val="000000"/>
        </w:rPr>
        <w:t>carer</w:t>
      </w:r>
      <w:proofErr w:type="spellEnd"/>
      <w:r w:rsidRPr="00137258">
        <w:rPr>
          <w:rFonts w:ascii="Verdana" w:eastAsia="Times New Roman" w:hAnsi="Verdana" w:cs="Times New Roman"/>
          <w:color w:val="000000"/>
        </w:rPr>
        <w:t>) understands that the medicine must be used once a week, and do this each time a new prescription is issued or the medicine is dispensed;</w:t>
      </w:r>
    </w:p>
    <w:p w14:paraId="74CE66A1" w14:textId="77777777" w:rsidR="00137258" w:rsidRPr="00137258" w:rsidRDefault="00137258" w:rsidP="00137258">
      <w:pPr>
        <w:numPr>
          <w:ilvl w:val="1"/>
          <w:numId w:val="2"/>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 xml:space="preserve">decide together with the patient (or </w:t>
      </w:r>
      <w:proofErr w:type="spellStart"/>
      <w:r w:rsidRPr="00137258">
        <w:rPr>
          <w:rFonts w:ascii="Verdana" w:eastAsia="Times New Roman" w:hAnsi="Verdana" w:cs="Times New Roman"/>
          <w:color w:val="000000"/>
        </w:rPr>
        <w:t>carer</w:t>
      </w:r>
      <w:proofErr w:type="spellEnd"/>
      <w:r w:rsidRPr="00137258">
        <w:rPr>
          <w:rFonts w:ascii="Verdana" w:eastAsia="Times New Roman" w:hAnsi="Verdana" w:cs="Times New Roman"/>
          <w:color w:val="000000"/>
        </w:rPr>
        <w:t>) on which day of the week the patient uses methotrexate;</w:t>
      </w:r>
    </w:p>
    <w:p w14:paraId="2D442267" w14:textId="77777777" w:rsidR="00137258" w:rsidRPr="00137258" w:rsidRDefault="00137258" w:rsidP="00137258">
      <w:pPr>
        <w:numPr>
          <w:ilvl w:val="1"/>
          <w:numId w:val="2"/>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 xml:space="preserve">counsel the patient (or </w:t>
      </w:r>
      <w:proofErr w:type="spellStart"/>
      <w:r w:rsidRPr="00137258">
        <w:rPr>
          <w:rFonts w:ascii="Verdana" w:eastAsia="Times New Roman" w:hAnsi="Verdana" w:cs="Times New Roman"/>
          <w:color w:val="000000"/>
        </w:rPr>
        <w:t>carer</w:t>
      </w:r>
      <w:proofErr w:type="spellEnd"/>
      <w:r w:rsidRPr="00137258">
        <w:rPr>
          <w:rFonts w:ascii="Verdana" w:eastAsia="Times New Roman" w:hAnsi="Verdana" w:cs="Times New Roman"/>
          <w:color w:val="000000"/>
        </w:rPr>
        <w:t>) about signs of methotrexate overdose and give instructions to promptly seek medical advice in case of suspected overdose.</w:t>
      </w:r>
    </w:p>
    <w:p w14:paraId="29E8A342" w14:textId="77777777" w:rsidR="00137258" w:rsidRPr="00137258" w:rsidRDefault="00137258" w:rsidP="00137258">
      <w:p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b/>
          <w:bCs/>
          <w:color w:val="000000"/>
        </w:rPr>
        <w:t>More about the medicine</w:t>
      </w:r>
    </w:p>
    <w:p w14:paraId="5CCBECA6" w14:textId="77777777" w:rsidR="00137258" w:rsidRPr="00137258" w:rsidRDefault="00137258" w:rsidP="00137258">
      <w:pPr>
        <w:spacing w:beforeAutospacing="1" w:afterAutospacing="1"/>
        <w:rPr>
          <w:rFonts w:ascii="Verdana" w:eastAsia="Times New Roman" w:hAnsi="Verdana" w:cs="Times New Roman"/>
          <w:color w:val="000000"/>
        </w:rPr>
      </w:pPr>
      <w:r w:rsidRPr="00137258">
        <w:rPr>
          <w:rFonts w:ascii="Verdana" w:eastAsia="Times New Roman" w:hAnsi="Verdana" w:cs="Times New Roman"/>
          <w:color w:val="000000"/>
        </w:rPr>
        <w:t xml:space="preserve">Methotrexate is </w:t>
      </w:r>
      <w:proofErr w:type="spellStart"/>
      <w:r w:rsidRPr="00137258">
        <w:rPr>
          <w:rFonts w:ascii="Verdana" w:eastAsia="Times New Roman" w:hAnsi="Verdana" w:cs="Times New Roman"/>
          <w:color w:val="000000"/>
        </w:rPr>
        <w:t>authorised</w:t>
      </w:r>
      <w:proofErr w:type="spellEnd"/>
      <w:r w:rsidRPr="00137258">
        <w:rPr>
          <w:rFonts w:ascii="Verdana" w:eastAsia="Times New Roman" w:hAnsi="Verdana" w:cs="Times New Roman"/>
          <w:color w:val="000000"/>
        </w:rPr>
        <w:t xml:space="preserve"> in the EU for two different groups of </w:t>
      </w:r>
      <w:hyperlink r:id="rId5" w:tgtFrame="_blank" w:tooltip="A medical condition that a medicine is used for. This can include the treatment, prevention and diagnosis of a disease." w:history="1">
        <w:r w:rsidRPr="00137258">
          <w:rPr>
            <w:rFonts w:ascii="Verdana" w:eastAsia="Times New Roman" w:hAnsi="Verdana" w:cs="Times New Roman"/>
            <w:color w:val="000000"/>
            <w:u w:val="single"/>
          </w:rPr>
          <w:t>indications</w:t>
        </w:r>
      </w:hyperlink>
      <w:r w:rsidRPr="00137258">
        <w:rPr>
          <w:rFonts w:ascii="Verdana" w:eastAsia="Times New Roman" w:hAnsi="Verdana" w:cs="Times New Roman"/>
          <w:color w:val="000000"/>
        </w:rPr>
        <w:t>, each with a different administration schedule:</w:t>
      </w:r>
    </w:p>
    <w:p w14:paraId="164275B2" w14:textId="77777777" w:rsidR="00137258" w:rsidRPr="00137258" w:rsidRDefault="00137258" w:rsidP="00137258">
      <w:pPr>
        <w:numPr>
          <w:ilvl w:val="0"/>
          <w:numId w:val="3"/>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treatment of cancer for which the dosing frequency depends on the regimen and can involve daily administration of methotrexate;</w:t>
      </w:r>
    </w:p>
    <w:p w14:paraId="0EA9FBE4" w14:textId="77777777" w:rsidR="00137258" w:rsidRPr="00137258" w:rsidRDefault="00137258" w:rsidP="00137258">
      <w:pPr>
        <w:numPr>
          <w:ilvl w:val="0"/>
          <w:numId w:val="3"/>
        </w:num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lastRenderedPageBreak/>
        <w:t>treatment of inflammatory diseases including rheumatoid arthritis, psoriasis and Crohn’s disease, which require once-weekly use of a low dose of methotrexate.</w:t>
      </w:r>
    </w:p>
    <w:p w14:paraId="2A312595" w14:textId="77777777" w:rsidR="00137258" w:rsidRPr="00137258" w:rsidRDefault="00137258" w:rsidP="00137258">
      <w:p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Methotrexate can be taken orally or given by injection.</w:t>
      </w:r>
    </w:p>
    <w:p w14:paraId="3A7B911B" w14:textId="77777777" w:rsidR="00137258" w:rsidRPr="00137258" w:rsidRDefault="00137258" w:rsidP="00137258">
      <w:pPr>
        <w:spacing w:before="100" w:beforeAutospacing="1" w:after="100" w:afterAutospacing="1"/>
        <w:rPr>
          <w:rFonts w:ascii="Verdana" w:eastAsia="Times New Roman" w:hAnsi="Verdana" w:cs="Times New Roman"/>
          <w:color w:val="000000"/>
        </w:rPr>
      </w:pPr>
      <w:r w:rsidRPr="00137258">
        <w:rPr>
          <w:rFonts w:ascii="Verdana" w:eastAsia="Times New Roman" w:hAnsi="Verdana" w:cs="Times New Roman"/>
          <w:color w:val="000000"/>
        </w:rPr>
        <w:t xml:space="preserve">Most methotrexate-containing medicines have been </w:t>
      </w:r>
      <w:proofErr w:type="spellStart"/>
      <w:r w:rsidRPr="00137258">
        <w:rPr>
          <w:rFonts w:ascii="Verdana" w:eastAsia="Times New Roman" w:hAnsi="Verdana" w:cs="Times New Roman"/>
          <w:color w:val="000000"/>
        </w:rPr>
        <w:t>authorised</w:t>
      </w:r>
      <w:proofErr w:type="spellEnd"/>
      <w:r w:rsidRPr="00137258">
        <w:rPr>
          <w:rFonts w:ascii="Verdana" w:eastAsia="Times New Roman" w:hAnsi="Verdana" w:cs="Times New Roman"/>
          <w:color w:val="000000"/>
        </w:rPr>
        <w:t xml:space="preserve"> via national procedures. They are marketed in all EU countries under several brand names including: </w:t>
      </w:r>
      <w:proofErr w:type="spellStart"/>
      <w:r w:rsidRPr="00137258">
        <w:rPr>
          <w:rFonts w:ascii="Verdana" w:eastAsia="Times New Roman" w:hAnsi="Verdana" w:cs="Times New Roman"/>
          <w:color w:val="000000"/>
        </w:rPr>
        <w:t>Ledertrexate</w:t>
      </w:r>
      <w:proofErr w:type="spellEnd"/>
      <w:r w:rsidRPr="00137258">
        <w:rPr>
          <w:rFonts w:ascii="Verdana" w:eastAsia="Times New Roman" w:hAnsi="Verdana" w:cs="Times New Roman"/>
          <w:color w:val="000000"/>
        </w:rPr>
        <w:t xml:space="preserve">, </w:t>
      </w:r>
      <w:proofErr w:type="spellStart"/>
      <w:r w:rsidRPr="00137258">
        <w:rPr>
          <w:rFonts w:ascii="Verdana" w:eastAsia="Times New Roman" w:hAnsi="Verdana" w:cs="Times New Roman"/>
          <w:color w:val="000000"/>
        </w:rPr>
        <w:t>Maxtrex</w:t>
      </w:r>
      <w:proofErr w:type="spellEnd"/>
      <w:r w:rsidRPr="00137258">
        <w:rPr>
          <w:rFonts w:ascii="Verdana" w:eastAsia="Times New Roman" w:hAnsi="Verdana" w:cs="Times New Roman"/>
          <w:color w:val="000000"/>
        </w:rPr>
        <w:t xml:space="preserve">, </w:t>
      </w:r>
      <w:proofErr w:type="spellStart"/>
      <w:r w:rsidRPr="00137258">
        <w:rPr>
          <w:rFonts w:ascii="Verdana" w:eastAsia="Times New Roman" w:hAnsi="Verdana" w:cs="Times New Roman"/>
          <w:color w:val="000000"/>
        </w:rPr>
        <w:t>Metex</w:t>
      </w:r>
      <w:proofErr w:type="spellEnd"/>
      <w:r w:rsidRPr="00137258">
        <w:rPr>
          <w:rFonts w:ascii="Verdana" w:eastAsia="Times New Roman" w:hAnsi="Verdana" w:cs="Times New Roman"/>
          <w:color w:val="000000"/>
        </w:rPr>
        <w:t xml:space="preserve"> and </w:t>
      </w:r>
      <w:proofErr w:type="spellStart"/>
      <w:r w:rsidRPr="00137258">
        <w:rPr>
          <w:rFonts w:ascii="Verdana" w:eastAsia="Times New Roman" w:hAnsi="Verdana" w:cs="Times New Roman"/>
          <w:color w:val="000000"/>
        </w:rPr>
        <w:t>Metoject</w:t>
      </w:r>
      <w:proofErr w:type="spellEnd"/>
      <w:r w:rsidRPr="00137258">
        <w:rPr>
          <w:rFonts w:ascii="Verdana" w:eastAsia="Times New Roman" w:hAnsi="Verdana" w:cs="Times New Roman"/>
          <w:color w:val="000000"/>
        </w:rPr>
        <w:t xml:space="preserve">. </w:t>
      </w:r>
      <w:proofErr w:type="spellStart"/>
      <w:r w:rsidRPr="00137258">
        <w:rPr>
          <w:rFonts w:ascii="Verdana" w:eastAsia="Times New Roman" w:hAnsi="Verdana" w:cs="Times New Roman"/>
          <w:color w:val="000000"/>
        </w:rPr>
        <w:t>Jylamvo</w:t>
      </w:r>
      <w:proofErr w:type="spellEnd"/>
      <w:r w:rsidRPr="00137258">
        <w:rPr>
          <w:rFonts w:ascii="Verdana" w:eastAsia="Times New Roman" w:hAnsi="Verdana" w:cs="Times New Roman"/>
          <w:color w:val="000000"/>
        </w:rPr>
        <w:t xml:space="preserve"> (for use by mouth) and </w:t>
      </w:r>
      <w:proofErr w:type="spellStart"/>
      <w:r w:rsidRPr="00137258">
        <w:rPr>
          <w:rFonts w:ascii="Verdana" w:eastAsia="Times New Roman" w:hAnsi="Verdana" w:cs="Times New Roman"/>
          <w:color w:val="000000"/>
        </w:rPr>
        <w:t>Nordimet</w:t>
      </w:r>
      <w:proofErr w:type="spellEnd"/>
      <w:r w:rsidRPr="00137258">
        <w:rPr>
          <w:rFonts w:ascii="Verdana" w:eastAsia="Times New Roman" w:hAnsi="Verdana" w:cs="Times New Roman"/>
          <w:color w:val="000000"/>
        </w:rPr>
        <w:t xml:space="preserve"> (for injection) are the only centrally </w:t>
      </w:r>
      <w:proofErr w:type="spellStart"/>
      <w:r w:rsidRPr="00137258">
        <w:rPr>
          <w:rFonts w:ascii="Verdana" w:eastAsia="Times New Roman" w:hAnsi="Verdana" w:cs="Times New Roman"/>
          <w:color w:val="000000"/>
        </w:rPr>
        <w:t>authorised</w:t>
      </w:r>
      <w:proofErr w:type="spellEnd"/>
      <w:r w:rsidRPr="00137258">
        <w:rPr>
          <w:rFonts w:ascii="Verdana" w:eastAsia="Times New Roman" w:hAnsi="Verdana" w:cs="Times New Roman"/>
          <w:color w:val="000000"/>
        </w:rPr>
        <w:t xml:space="preserve"> medicines containing methotrexate.    </w:t>
      </w:r>
    </w:p>
    <w:p w14:paraId="317A99B1" w14:textId="77777777" w:rsidR="00137258" w:rsidRPr="00202E84" w:rsidRDefault="00137258" w:rsidP="00137258">
      <w:pPr>
        <w:spacing w:before="100" w:beforeAutospacing="1" w:after="100" w:afterAutospacing="1"/>
        <w:rPr>
          <w:rFonts w:ascii="Verdana" w:eastAsia="Times New Roman" w:hAnsi="Verdana" w:cs="Times New Roman"/>
          <w:color w:val="000000"/>
          <w:highlight w:val="cyan"/>
        </w:rPr>
      </w:pPr>
      <w:r w:rsidRPr="00202E84">
        <w:rPr>
          <w:rFonts w:ascii="Verdana" w:eastAsia="Times New Roman" w:hAnsi="Verdana" w:cs="Times New Roman"/>
          <w:b/>
          <w:bCs/>
          <w:color w:val="000000"/>
          <w:highlight w:val="cyan"/>
        </w:rPr>
        <w:t>More about the procedure</w:t>
      </w:r>
    </w:p>
    <w:p w14:paraId="4766EFD2" w14:textId="77777777" w:rsidR="00137258" w:rsidRPr="00202E84" w:rsidRDefault="00137258" w:rsidP="00137258">
      <w:pPr>
        <w:spacing w:beforeAutospacing="1" w:afterAutospacing="1"/>
        <w:rPr>
          <w:rFonts w:ascii="Verdana" w:eastAsia="Times New Roman" w:hAnsi="Verdana" w:cs="Times New Roman"/>
          <w:color w:val="000000"/>
          <w:highlight w:val="cyan"/>
        </w:rPr>
      </w:pPr>
      <w:r w:rsidRPr="00202E84">
        <w:rPr>
          <w:rFonts w:ascii="Verdana" w:eastAsia="Times New Roman" w:hAnsi="Verdana" w:cs="Times New Roman"/>
          <w:color w:val="000000"/>
          <w:highlight w:val="cyan"/>
        </w:rPr>
        <w:t>The review of methotrexate medicines was initiated on 22 March 2018 at the request of the Spanish Agency for Medicines and Health Products, under </w:t>
      </w:r>
      <w:hyperlink r:id="rId6" w:history="1">
        <w:r w:rsidRPr="00202E84">
          <w:rPr>
            <w:rFonts w:ascii="Verdana" w:eastAsia="Times New Roman" w:hAnsi="Verdana" w:cs="Times New Roman"/>
            <w:color w:val="75197C"/>
            <w:highlight w:val="cyan"/>
            <w:u w:val="single"/>
          </w:rPr>
          <w:t>Article 31 of Directive 2001/83/EC</w:t>
        </w:r>
      </w:hyperlink>
      <w:r w:rsidRPr="00202E84">
        <w:rPr>
          <w:rFonts w:ascii="Verdana" w:eastAsia="Times New Roman" w:hAnsi="Verdana" w:cs="Times New Roman"/>
          <w:color w:val="000000"/>
          <w:highlight w:val="cyan"/>
        </w:rPr>
        <w:t>.</w:t>
      </w:r>
    </w:p>
    <w:p w14:paraId="530B20EE" w14:textId="77777777" w:rsidR="00137258" w:rsidRPr="00137258" w:rsidRDefault="00137258" w:rsidP="00137258">
      <w:pPr>
        <w:spacing w:beforeAutospacing="1" w:afterAutospacing="1"/>
        <w:rPr>
          <w:rFonts w:ascii="Verdana" w:eastAsia="Times New Roman" w:hAnsi="Verdana" w:cs="Times New Roman"/>
          <w:color w:val="000000"/>
        </w:rPr>
      </w:pPr>
      <w:r w:rsidRPr="00202E84">
        <w:rPr>
          <w:rFonts w:ascii="Verdana" w:eastAsia="Times New Roman" w:hAnsi="Verdana" w:cs="Times New Roman"/>
          <w:color w:val="000000"/>
          <w:highlight w:val="cyan"/>
        </w:rPr>
        <w:t>The review has been carried out by the </w:t>
      </w:r>
      <w:hyperlink r:id="rId7" w:tgtFrame="_blank" w:tooltip="The committee that is responsible for assessing all aspects of the risk management of medicines for human use. Abbreviated as PRAC. &#13; &#13; More information can be found under 'Pharmacovigilance Risk Assessment Committee (PRAC)'." w:history="1">
        <w:r w:rsidRPr="00202E84">
          <w:rPr>
            <w:rFonts w:ascii="Verdana" w:eastAsia="Times New Roman" w:hAnsi="Verdana" w:cs="Times New Roman"/>
            <w:color w:val="000000"/>
            <w:highlight w:val="cyan"/>
            <w:u w:val="single"/>
          </w:rPr>
          <w:t>Pharmacovigilance Risk Assessment Committee</w:t>
        </w:r>
      </w:hyperlink>
      <w:r w:rsidRPr="00202E84">
        <w:rPr>
          <w:rFonts w:ascii="Verdana" w:eastAsia="Times New Roman" w:hAnsi="Verdana" w:cs="Times New Roman"/>
          <w:color w:val="000000"/>
          <w:highlight w:val="cyan"/>
        </w:rPr>
        <w:t> (</w:t>
      </w:r>
      <w:hyperlink r:id="rId8"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202E84">
          <w:rPr>
            <w:rFonts w:ascii="Verdana" w:eastAsia="Times New Roman" w:hAnsi="Verdana" w:cs="Times New Roman"/>
            <w:color w:val="000000"/>
            <w:highlight w:val="cyan"/>
            <w:u w:val="single"/>
          </w:rPr>
          <w:t>PRAC</w:t>
        </w:r>
      </w:hyperlink>
      <w:r w:rsidRPr="00202E84">
        <w:rPr>
          <w:rFonts w:ascii="Verdana" w:eastAsia="Times New Roman" w:hAnsi="Verdana" w:cs="Times New Roman"/>
          <w:color w:val="000000"/>
          <w:highlight w:val="cyan"/>
        </w:rPr>
        <w:t>), the Committee responsible for the evaluation of safety issues for human medicines, which made a set of recommendations. The </w:t>
      </w:r>
      <w:hyperlink r:id="rId9"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202E84">
          <w:rPr>
            <w:rFonts w:ascii="Verdana" w:eastAsia="Times New Roman" w:hAnsi="Verdana" w:cs="Times New Roman"/>
            <w:color w:val="000000"/>
            <w:highlight w:val="cyan"/>
            <w:u w:val="single"/>
          </w:rPr>
          <w:t>PRAC</w:t>
        </w:r>
      </w:hyperlink>
      <w:r w:rsidRPr="00202E84">
        <w:rPr>
          <w:rFonts w:ascii="Verdana" w:eastAsia="Times New Roman" w:hAnsi="Verdana" w:cs="Times New Roman"/>
          <w:color w:val="000000"/>
          <w:highlight w:val="cyan"/>
        </w:rPr>
        <w:t> recommendations were sent to the </w:t>
      </w:r>
      <w:hyperlink r:id="rId10" w:tgtFrame="_blank" w:tooltip="The committee that is responsible for preparing the Agency's opinions on questions concerning human medicines. Abbreviated as CHMP. &#13; &#13; More information can be found under 'Committee for Medicinal Products for Human Use (CHMP)'." w:history="1">
        <w:r w:rsidRPr="00202E84">
          <w:rPr>
            <w:rFonts w:ascii="Verdana" w:eastAsia="Times New Roman" w:hAnsi="Verdana" w:cs="Times New Roman"/>
            <w:color w:val="000000"/>
            <w:highlight w:val="cyan"/>
            <w:u w:val="single"/>
          </w:rPr>
          <w:t>Committee for Medicinal Products for Human Use</w:t>
        </w:r>
      </w:hyperlink>
      <w:r w:rsidRPr="00202E84">
        <w:rPr>
          <w:rFonts w:ascii="Verdana" w:eastAsia="Times New Roman" w:hAnsi="Verdana" w:cs="Times New Roman"/>
          <w:color w:val="000000"/>
          <w:highlight w:val="cyan"/>
        </w:rPr>
        <w:t> (</w:t>
      </w:r>
      <w:hyperlink r:id="rId11"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02E84">
          <w:rPr>
            <w:rFonts w:ascii="Verdana" w:eastAsia="Times New Roman" w:hAnsi="Verdana" w:cs="Times New Roman"/>
            <w:color w:val="000000"/>
            <w:highlight w:val="cyan"/>
            <w:u w:val="single"/>
          </w:rPr>
          <w:t>CHMP</w:t>
        </w:r>
      </w:hyperlink>
      <w:r w:rsidRPr="00202E84">
        <w:rPr>
          <w:rFonts w:ascii="Verdana" w:eastAsia="Times New Roman" w:hAnsi="Verdana" w:cs="Times New Roman"/>
          <w:color w:val="000000"/>
          <w:highlight w:val="cyan"/>
        </w:rPr>
        <w:t>), responsible for questions concerning medicines for human use, which adopted the Agency’s opinion. The </w:t>
      </w:r>
      <w:hyperlink r:id="rId12"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02E84">
          <w:rPr>
            <w:rFonts w:ascii="Verdana" w:eastAsia="Times New Roman" w:hAnsi="Verdana" w:cs="Times New Roman"/>
            <w:color w:val="000000"/>
            <w:highlight w:val="cyan"/>
            <w:u w:val="single"/>
          </w:rPr>
          <w:t>CHMP</w:t>
        </w:r>
      </w:hyperlink>
      <w:r w:rsidRPr="00202E84">
        <w:rPr>
          <w:rFonts w:ascii="Verdana" w:eastAsia="Times New Roman" w:hAnsi="Verdana" w:cs="Times New Roman"/>
          <w:color w:val="000000"/>
          <w:highlight w:val="cyan"/>
        </w:rPr>
        <w:t> opinion will now be forwarded to the European Commission, which will issue a final legally binding decision applicable in all EU Member States in due course.</w:t>
      </w:r>
    </w:p>
    <w:p w14:paraId="504B2C4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53A3E"/>
    <w:multiLevelType w:val="multilevel"/>
    <w:tmpl w:val="19CA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36FB5"/>
    <w:multiLevelType w:val="multilevel"/>
    <w:tmpl w:val="82D2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70FB7"/>
    <w:multiLevelType w:val="multilevel"/>
    <w:tmpl w:val="0E2E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5D"/>
    <w:rsid w:val="00137258"/>
    <w:rsid w:val="00202E84"/>
    <w:rsid w:val="00453EED"/>
    <w:rsid w:val="00BE080D"/>
    <w:rsid w:val="00F6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29133"/>
  <w14:defaultImageDpi w14:val="32767"/>
  <w15:chartTrackingRefBased/>
  <w15:docId w15:val="{E4BBCB48-AB56-A24E-B155-AD8E49ED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25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25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37258"/>
  </w:style>
  <w:style w:type="character" w:customStyle="1" w:styleId="date-display-single">
    <w:name w:val="date-display-single"/>
    <w:basedOn w:val="DefaultParagraphFont"/>
    <w:rsid w:val="00137258"/>
  </w:style>
  <w:style w:type="paragraph" w:styleId="NormalWeb">
    <w:name w:val="Normal (Web)"/>
    <w:basedOn w:val="Normal"/>
    <w:uiPriority w:val="99"/>
    <w:semiHidden/>
    <w:unhideWhenUsed/>
    <w:rsid w:val="0013725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37258"/>
    <w:rPr>
      <w:b/>
      <w:bCs/>
    </w:rPr>
  </w:style>
  <w:style w:type="character" w:styleId="Hyperlink">
    <w:name w:val="Hyperlink"/>
    <w:basedOn w:val="DefaultParagraphFont"/>
    <w:uiPriority w:val="99"/>
    <w:semiHidden/>
    <w:unhideWhenUsed/>
    <w:rsid w:val="001372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451626">
      <w:bodyDiv w:val="1"/>
      <w:marLeft w:val="0"/>
      <w:marRight w:val="0"/>
      <w:marTop w:val="0"/>
      <w:marBottom w:val="0"/>
      <w:divBdr>
        <w:top w:val="none" w:sz="0" w:space="0" w:color="auto"/>
        <w:left w:val="none" w:sz="0" w:space="0" w:color="auto"/>
        <w:bottom w:val="none" w:sz="0" w:space="0" w:color="auto"/>
        <w:right w:val="none" w:sz="0" w:space="0" w:color="auto"/>
      </w:divBdr>
      <w:divsChild>
        <w:div w:id="1140922527">
          <w:marLeft w:val="0"/>
          <w:marRight w:val="0"/>
          <w:marTop w:val="0"/>
          <w:marBottom w:val="0"/>
          <w:divBdr>
            <w:top w:val="none" w:sz="0" w:space="0" w:color="auto"/>
            <w:left w:val="none" w:sz="0" w:space="0" w:color="auto"/>
            <w:bottom w:val="none" w:sz="0" w:space="0" w:color="auto"/>
            <w:right w:val="none" w:sz="0" w:space="0" w:color="auto"/>
          </w:divBdr>
          <w:divsChild>
            <w:div w:id="79647031">
              <w:marLeft w:val="0"/>
              <w:marRight w:val="0"/>
              <w:marTop w:val="0"/>
              <w:marBottom w:val="0"/>
              <w:divBdr>
                <w:top w:val="none" w:sz="0" w:space="0" w:color="auto"/>
                <w:left w:val="none" w:sz="0" w:space="0" w:color="auto"/>
                <w:bottom w:val="none" w:sz="0" w:space="0" w:color="auto"/>
                <w:right w:val="none" w:sz="0" w:space="0" w:color="auto"/>
              </w:divBdr>
            </w:div>
          </w:divsChild>
        </w:div>
        <w:div w:id="133446333">
          <w:marLeft w:val="0"/>
          <w:marRight w:val="0"/>
          <w:marTop w:val="0"/>
          <w:marBottom w:val="0"/>
          <w:divBdr>
            <w:top w:val="none" w:sz="0" w:space="0" w:color="auto"/>
            <w:left w:val="none" w:sz="0" w:space="0" w:color="auto"/>
            <w:bottom w:val="none" w:sz="0" w:space="0" w:color="auto"/>
            <w:right w:val="none" w:sz="0" w:space="0" w:color="auto"/>
          </w:divBdr>
        </w:div>
        <w:div w:id="141697167">
          <w:marLeft w:val="0"/>
          <w:marRight w:val="0"/>
          <w:marTop w:val="0"/>
          <w:marBottom w:val="0"/>
          <w:divBdr>
            <w:top w:val="none" w:sz="0" w:space="0" w:color="auto"/>
            <w:left w:val="none" w:sz="0" w:space="0" w:color="auto"/>
            <w:bottom w:val="none" w:sz="0" w:space="0" w:color="auto"/>
            <w:right w:val="none" w:sz="0" w:space="0" w:color="auto"/>
          </w:divBdr>
          <w:divsChild>
            <w:div w:id="1404451621">
              <w:marLeft w:val="0"/>
              <w:marRight w:val="0"/>
              <w:marTop w:val="0"/>
              <w:marBottom w:val="0"/>
              <w:divBdr>
                <w:top w:val="none" w:sz="0" w:space="0" w:color="auto"/>
                <w:left w:val="none" w:sz="0" w:space="0" w:color="auto"/>
                <w:bottom w:val="none" w:sz="0" w:space="0" w:color="auto"/>
                <w:right w:val="none" w:sz="0" w:space="0" w:color="auto"/>
              </w:divBdr>
              <w:divsChild>
                <w:div w:id="1726678332">
                  <w:marLeft w:val="0"/>
                  <w:marRight w:val="0"/>
                  <w:marTop w:val="0"/>
                  <w:marBottom w:val="0"/>
                  <w:divBdr>
                    <w:top w:val="none" w:sz="0" w:space="0" w:color="auto"/>
                    <w:left w:val="none" w:sz="0" w:space="0" w:color="auto"/>
                    <w:bottom w:val="none" w:sz="0" w:space="0" w:color="auto"/>
                    <w:right w:val="none" w:sz="0" w:space="0" w:color="auto"/>
                  </w:divBdr>
                  <w:divsChild>
                    <w:div w:id="287930275">
                      <w:marLeft w:val="0"/>
                      <w:marRight w:val="0"/>
                      <w:marTop w:val="0"/>
                      <w:marBottom w:val="0"/>
                      <w:divBdr>
                        <w:top w:val="none" w:sz="0" w:space="0" w:color="auto"/>
                        <w:left w:val="none" w:sz="0" w:space="0" w:color="auto"/>
                        <w:bottom w:val="none" w:sz="0" w:space="0" w:color="auto"/>
                        <w:right w:val="none" w:sz="0" w:space="0" w:color="auto"/>
                      </w:divBdr>
                      <w:divsChild>
                        <w:div w:id="377126060">
                          <w:marLeft w:val="0"/>
                          <w:marRight w:val="0"/>
                          <w:marTop w:val="0"/>
                          <w:marBottom w:val="0"/>
                          <w:divBdr>
                            <w:top w:val="none" w:sz="0" w:space="0" w:color="auto"/>
                            <w:left w:val="none" w:sz="0" w:space="0" w:color="auto"/>
                            <w:bottom w:val="none" w:sz="0" w:space="0" w:color="auto"/>
                            <w:right w:val="none" w:sz="0" w:space="0" w:color="auto"/>
                          </w:divBdr>
                          <w:divsChild>
                            <w:div w:id="1931114969">
                              <w:marLeft w:val="0"/>
                              <w:marRight w:val="0"/>
                              <w:marTop w:val="0"/>
                              <w:marBottom w:val="0"/>
                              <w:divBdr>
                                <w:top w:val="none" w:sz="0" w:space="0" w:color="auto"/>
                                <w:left w:val="none" w:sz="0" w:space="0" w:color="auto"/>
                                <w:bottom w:val="none" w:sz="0" w:space="0" w:color="auto"/>
                                <w:right w:val="none" w:sz="0" w:space="0" w:color="auto"/>
                              </w:divBdr>
                              <w:divsChild>
                                <w:div w:id="46882355">
                                  <w:marLeft w:val="0"/>
                                  <w:marRight w:val="0"/>
                                  <w:marTop w:val="0"/>
                                  <w:marBottom w:val="0"/>
                                  <w:divBdr>
                                    <w:top w:val="none" w:sz="0" w:space="0" w:color="auto"/>
                                    <w:left w:val="none" w:sz="0" w:space="0" w:color="auto"/>
                                    <w:bottom w:val="none" w:sz="0" w:space="0" w:color="auto"/>
                                    <w:right w:val="none" w:sz="0" w:space="0" w:color="auto"/>
                                  </w:divBdr>
                                  <w:divsChild>
                                    <w:div w:id="18095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pra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ma.europa.eu/en/glossary/pharmacovigilance-risk-assessment-committee" TargetMode="External"/><Relationship Id="rId12" Type="http://schemas.openxmlformats.org/officeDocument/2006/relationships/hyperlink" Target="https://www.ema.europa.eu/en/glossary/ch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a.europa.eu/en/human-regulatory/post-authorisation/referral-procedures" TargetMode="External"/><Relationship Id="rId11" Type="http://schemas.openxmlformats.org/officeDocument/2006/relationships/hyperlink" Target="https://www.ema.europa.eu/en/glossary/chmp" TargetMode="External"/><Relationship Id="rId5" Type="http://schemas.openxmlformats.org/officeDocument/2006/relationships/hyperlink" Target="https://www.ema.europa.eu/en/glossary/indication" TargetMode="External"/><Relationship Id="rId10" Type="http://schemas.openxmlformats.org/officeDocument/2006/relationships/hyperlink" Target="https://www.ema.europa.eu/en/glossary/committee-medicinal-products-human-use" TargetMode="External"/><Relationship Id="rId4" Type="http://schemas.openxmlformats.org/officeDocument/2006/relationships/webSettings" Target="webSettings.xml"/><Relationship Id="rId9" Type="http://schemas.openxmlformats.org/officeDocument/2006/relationships/hyperlink" Target="https://www.ema.europa.eu/en/glossary/pra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1107</Words>
  <Characters>6311</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2020-02-18T11:01:00Z</dcterms:created>
  <dcterms:modified xsi:type="dcterms:W3CDTF">2020-03-15T14:49:00Z</dcterms:modified>
</cp:coreProperties>
</file>